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2021S0182-1  03/10/21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1726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unemployment tax rate paid by certain employers;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204, Labor Code, is amended by adding Section 204.0071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204.0071.</w:t>
      </w:r>
      <w:r>
        <w:rPr>
          <w:u w:val="single"/>
        </w:rPr>
        <w:t xml:space="preserve"> </w:t>
      </w:r>
      <w:r>
        <w:rPr>
          <w:u w:val="single"/>
        </w:rPr>
        <w:t xml:space="preserve"> </w:t>
      </w:r>
      <w:r>
        <w:rPr>
          <w:u w:val="single"/>
        </w:rPr>
        <w:t xml:space="preserve">SPECIAL RATE; CERTAIN EMPLOYERS ENGAGED IN SERVICE AND ENTERTAINMENT.  (a)</w:t>
      </w:r>
      <w:r>
        <w:rPr>
          <w:u w:val="single"/>
        </w:rPr>
        <w:t xml:space="preserve"> </w:t>
      </w:r>
      <w:r>
        <w:rPr>
          <w:u w:val="single"/>
        </w:rPr>
        <w:t xml:space="preserve"> </w:t>
      </w:r>
      <w:r>
        <w:rPr>
          <w:u w:val="single"/>
        </w:rPr>
        <w:t xml:space="preserve">This section applies only to an employer identified by the commission as classified in the manual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Number 711130, musical groups and artists;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711310, promoters of performing arts, sports, and similar events with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711320, promoters of performing arts, sports, and similar events without facilities;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Number 722410, drinking places (alcoholic beverages);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Number 722511, full-service restaurants;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Number 722513, limited-service restaurants.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employer subject to this section shall pay a contribution under this chapter at a tax rate that is not more than the tax rate computed as of October 1, 2020, and is not required to pay a replenishment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amount of $70 million is appropriated from the economic stabilization fund to the comptroller for the purpose of transferring that amount immediately to the credit of the unemployment compensation fund established under Section 203.021, Labor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