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1727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local government corporations created for the development, construction, operation, management, or financing of transportation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431, Transportation Code, is amended by adding Section 431.1015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431.1015.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CORPORATIONS OF CERTAIN COUNTIES FOR TOLL PROJECTS.  (a)  Notwithstanding Chapter 284 or any other law, a county with a population of more than four million may not create a local government corporation under this chapter to develop, construct, operate, manage, or finance a toll project or system located in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existing local government corporation created by a county described by Subsection (a) for the purposes described by that subsection: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undertake any new bonds, notes, or other obligations or extend the terms of any existing bonds, notes, or other obligations;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enter into any new contracts or extend the terms of any existing contracts;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be dissolved when all bonds, notes, and other obligations and contracts of the corporation have been satisfied.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subsection and Subsection (b) expire on the date that the local government corporation described by Subsection (b) is dissolved.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chapter, income earned and revenues received by or from a local government corporation created to develop, construct, operate, manage, or finance a toll project or system under Chapter 284 may be used only to pay the costs of a turnpike project, as defined by Section 370.003, or a road, street, or highway project as provided for under Section 284.0031.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