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Nichols</w:t>
      </w:r>
      <w:r xml:space="preserve">
        <w:tab wTab="150" tlc="none" cTlc="0"/>
      </w:r>
      <w:r>
        <w:t xml:space="preserve">S.B.</w:t>
      </w:r>
      <w:r xml:space="preserve">
        <w:t> </w:t>
      </w:r>
      <w:r>
        <w:t xml:space="preserve">No.</w:t>
      </w:r>
      <w:r xml:space="preserve">
        <w:t> </w:t>
      </w:r>
      <w:r>
        <w:t xml:space="preserve">1728</w:t>
      </w:r>
    </w:p>
    <w:p w:rsidR="003F3435" w:rsidRDefault="0032493E">
      <w:pPr>
        <w:jc w:val="both"/>
      </w:pPr>
      <w:r xml:space="preserve">
        <w:t> </w:t>
      </w:r>
      <w:r xml:space="preserve">
        <w:t> </w:t>
      </w:r>
      <w:r xml:space="preserve">
        <w:t> </w:t>
      </w:r>
      <w:r xml:space="preserve">
        <w:t> </w:t>
      </w:r>
      <w:r xml:space="preserve">
        <w:t> </w:t>
      </w:r>
      <w:r>
        <w:t xml:space="preserve">Powell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equalization for road use consumption for alternatively fueled vehicles imposed at the time of registration or registration renewal;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EQUALIZATION FOR ROAD USE CONSUMPTION FOR ALTERNATIVELY FUELED VEHICLES.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"Alternatively fueled vehicle" means a motor vehicle that is capable of being powered by a source other than gasoline or diesel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"Conventionally fueled vehicle" means a motor vehicle that is capable of being powered only by gasoline or diesel fuel.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"Hybrid electric vehicle" means a motor vehicle that is capable of being powered by both electricity and gasoline or diesel fuel.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gas vehicle" means a motor vehicle that is capable of being powered only by compressed natural gas or liquefied natural gas as fuel.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alternatively fueled vehicle, other than a vehicle subject to a fee under Subsection (c) or (d), the applicant shall pay an additional fee according to the gross weight of the vehicle, as follows:</w:t>
      </w:r>
    </w:p>
    <w:tbl>
      <w:tr>
        <w:tc>
          <w:p>
            <w:r>
              <w:rPr>
                <w:u w:val="single"/>
              </w:rPr>
              <w:t xml:space="preserve">Weight Classification in pounds</w:t>
            </w:r>
          </w:p>
        </w:tc>
        <w:tc>
          <w:p>
            <w:r>
              <w:rPr>
                <w:u w:val="single"/>
              </w:rPr>
              <w:t xml:space="preserve">Fee Schedule</w:t>
            </w:r>
          </w:p>
        </w:tc>
      </w:tr>
      <w:tr>
        <w:tc>
          <w:p>
            <w:r>
              <w:rPr>
                <w:u w:val="single"/>
              </w:rPr>
              <w:t xml:space="preserve">0-6,000</w:t>
            </w:r>
          </w:p>
        </w:tc>
        <w:tc>
          <w:p>
            <w:r>
              <w:rPr>
                <w:u w:val="single"/>
              </w:rPr>
              <w:t xml:space="preserve">$200</w:t>
            </w:r>
          </w:p>
        </w:tc>
      </w:tr>
      <w:tr>
        <w:tc>
          <w:p>
            <w:r>
              <w:rPr>
                <w:u w:val="single"/>
              </w:rPr>
              <w:t xml:space="preserve">6,001-10,000</w:t>
            </w:r>
          </w:p>
        </w:tc>
        <w:tc>
          <w:p>
            <w:r>
              <w:rPr>
                <w:u w:val="single"/>
              </w:rPr>
              <w:t xml:space="preserve">$250</w:t>
            </w:r>
          </w:p>
        </w:tc>
      </w:tr>
    </w:tbl>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 hybrid electric vehicle, the applicant shall pay an additional fee according to the gross weight of the vehicle, as follows:</w:t>
      </w:r>
    </w:p>
    <w:tbl>
      <w:tr>
        <w:tc>
          <w:p>
            <w:r>
              <w:rPr>
                <w:u w:val="single"/>
              </w:rPr>
              <w:t xml:space="preserve">Weight Classification in pounds</w:t>
            </w:r>
          </w:p>
        </w:tc>
        <w:tc>
          <w:p>
            <w:r>
              <w:rPr>
                <w:u w:val="single"/>
              </w:rPr>
              <w:t xml:space="preserve">Fee Schedule</w:t>
            </w:r>
          </w:p>
        </w:tc>
      </w:tr>
      <w:tr>
        <w:tc>
          <w:p>
            <w:r>
              <w:rPr>
                <w:u w:val="single"/>
              </w:rPr>
              <w:t xml:space="preserve">0-6,000</w:t>
            </w:r>
          </w:p>
        </w:tc>
        <w:tc>
          <w:p>
            <w:r>
              <w:rPr>
                <w:u w:val="single"/>
              </w:rPr>
              <w:t xml:space="preserve">$40</w:t>
            </w:r>
          </w:p>
        </w:tc>
      </w:tr>
      <w:tr>
        <w:tc>
          <w:p>
            <w:r>
              <w:rPr>
                <w:u w:val="single"/>
              </w:rPr>
              <w:t xml:space="preserve">6,001-10,000</w:t>
            </w:r>
          </w:p>
        </w:tc>
        <w:tc>
          <w:p>
            <w:r>
              <w:rPr>
                <w:u w:val="single"/>
              </w:rPr>
              <w:t xml:space="preserve">$50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 natural gas vehicle, the applicant shall pay an additional fee in an amount equal to the difference between the amounts calculated under Subsections (e)(1) and (2) for that class of vehicle.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for each class of natural gas vehicle,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annual amount of taxes imposed under Chapter 162, Tax Code, that a conventionally fueled vehicle of that class would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annual amount of taxes imposed under that chapter that a natural gas  vehicle of that class would pay.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review and update the fee calculated under Subsection (e) at least once every five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rules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