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1733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recreational vehicle rental communities.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232, Local Government Code, is amended by adding Section 232.0071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232.0071.</w:t>
      </w:r>
      <w:r>
        <w:rPr>
          <w:u w:val="single"/>
        </w:rPr>
        <w:t xml:space="preserve"> </w:t>
      </w:r>
      <w:r>
        <w:rPr>
          <w:u w:val="single"/>
        </w:rPr>
        <w:t xml:space="preserve">  RECREATIONAL VEHICLE RENTAL COMMUNITIES.  (a) In this section: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"Recreational vehicle" has the meaning assigned by Section 522.004, Transportation Code.  The term includes a park model recreational vehicle.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"Recreational vehicle rental community" means a plot or tract of land that is separated into two or more spaces or lots that are rented, leased, or offered for rent or lease for a term of less than 60 months without a purchase option to recreational vehicles for use and occupancy as temporary residences.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recreational vehicle rental community is not a subdivision of land for the purposes of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