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87R8595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1735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person to serve on the appraisal review board of certain appraisal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described by Section 6.41(d-1)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three previous terms as a board member or auxiliary board member on the appraisal review board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previous term as a board member or auxiliary board member on the appraisal review board, if the appraisal district is established in a county with a population of one million or more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eligibility of a person serving on an appraisal review board immediately before the effective date of this Act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