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87R14806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1741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pretrial procedures, conditions for community supervision, and criminal punishment for conduct endangering the public safety; creating a criminal offense and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Children); [</w:t>
      </w:r>
      <w:r>
        <w:rPr>
          <w:strike/>
        </w:rPr>
        <w:t xml:space="preserve">or</w:t>
      </w:r>
      <w:r>
        <w:t xml:space="preserve">]</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 </w:t>
      </w:r>
      <w:r>
        <w:rPr>
          <w:u w:val="single"/>
        </w:rPr>
        <w:t xml:space="preserve">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42.02 (Riot);</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17.033,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time limits imposed by Subsections (a) and (b), a person who is arrested without a warrant for an alleged violation of Section 42.02, Penal Code, and who is detained in jail may not be released on bond before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day on which the court before whom the case is pending is reasonably able to verify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of primary 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driver's license number and state of issuance,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place of employment,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current enrollment at an institution of higher education, if any;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72nd hour after the commencement of the person's detention.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IF OFFENSE COMMITTED DURING A RIOT.  (a)  In this section, "riot" has the meaning assigned by Section 42.02.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(d) and (e), the punishment for an offense listed under Subsection (c) is increased to the punishment prescribed for the next higher category of offense if it is shown on the trial of the offense that at the time of the offense the actor was participating in a riot.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22.01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28.02 (Arson);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28.03 (Criminal Mischief);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29.02 (Robbery);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30.02 (Burglary);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30.03 (Burglary of Coin-operated or Coin Collection Machines);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30.04 (Burglary of Vehicles);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30.05 (Criminal Trespass);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31.03 (Theft);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50.02 (Unlawful Use of Fireworks).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listed under Subsection (c) is punishable as a Class A misdemeanor after the application of Subsection (b), the minimum term of confinement for the offense shall be no less than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offense listed under Subsection (c) is punishable as a felony of the first degree, the punishment of that offense may not be increased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42.13,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conduct causes bodily injury to the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first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FIREWORKS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firework" and "fireworks" have the meanings assigned by 49 C.F.R. Section 173.59.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officer" means a person who is a peace officer under Article 2.12, Code of Criminal Procedure, or a person who is a federal law enforcement officer, as defined by 5 U.S.C. Section 8331(20).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UNLAWFUL USE OF FIREWORKS.  (a) </w:t>
      </w:r>
      <w:r>
        <w:rPr>
          <w:u w:val="single"/>
        </w:rPr>
        <w:t xml:space="preserve"> </w:t>
      </w:r>
      <w:r>
        <w:rPr>
          <w:u w:val="single"/>
        </w:rPr>
        <w:t xml:space="preserve">A person commits an offense if the person explodes or ignites fireworks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the lawful performance of an official duty by a law enforcement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flee from a person the actor knows is a law enforcement officer attempting to lawfully arrest or detain the 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that involves any firework that is not a consumer firework is a second degree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17.03 and 17.033, Code of Criminal Procedure, as amended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42A.517, Code of Criminal Procedure, as added by this Act, Sections 12.501 and 50.02, Penal Code, as added by this Act, and Sections 42.03 and 42.13, Penal Code, as amended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