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1749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and designation of certain gas entities and gas facilities as critical during an energy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GAS ENTITIES AND FACILITIES DURING AN ENERGY EMERGENCY.  (a) The commission shall work with the Railroad Commission of Texas and adopt rules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transmission and distribution utilities, municipally owned utilities, electric cooperatives, and ERCOT are provided with the designations as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prioritization for load-shed purposes of the entities and facilities designated under Subsection (a) during an energy emergency;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transmission and distribution utilities, municipally owned utilities, and electric cooperatives to prioritize power delivery and power restoration among the customers on their respective systems, as circumstances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GAS ENTITIES AND FACILITIES DURING AN ENERGY EMERGENCY.  (a) The commission shall work with the Public Utility Commission of Texas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eligibility and designation requirements for persons owning, operating, or engaging in the activities set forth in Section 81.051 to provide critical customer designation and critical gas supply information, as defined by the commission, to transmission and distribution utilities, municipally owned utilities, electric cooperatives, and ERCOT, as those terms are defined by Section 31.002,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including natural gas production, processing, transportation, and the delivery of natural gas to generators.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Public Utility Commission of Texas and Railroad Commission of Texas shall adopt rules, as added by this Act, not later than September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its implementation of the designation and prioritization requirements, as added by the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