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1750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Business &amp; Commerce;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1750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extreme weather preparedness of critical electric and natural gas infrastructure;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Winter Storm Uri revealed the interconnectedness of the gas and power industries in the face of extreme weather and resolves to protect the citizens of this state from similar events by requiring coordinated enforcement by relevant regulatory bodies.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EXTREME</w:t>
      </w:r>
      <w:r>
        <w:rPr>
          <w:u w:val="single"/>
        </w:rPr>
        <w:t xml:space="preserve"> </w:t>
      </w:r>
      <w:r>
        <w:rPr>
          <w:u w:val="single"/>
        </w:rPr>
        <w:t xml:space="preserve">WEATHER EMERGENCY PREPAREDNESS.  (a) 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10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an operator of a gas well to implement measures to prepare the well to operate during an extreme weather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121.2015(a),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an extreme weather emergency, as defined by Section 86.044, Natural Resources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WINTER WEATHER EMERGENCY PREPAREDNESS AND COORDINATION.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agency" means the Public Utility Commission of Texas, the Railroad Commission of Texas, or 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"Coordinated entity" means a power generation company as defined by Section 31.002, the independent organization, or an entity engaged in the transport, storage, or shipping of natural gas to or for a power generation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and the Railroad Commission of Texas each by rule shall require each coordinated entity subject to the agency's jurisdiction to establish and submit to the respective agency a winter preparedness emergency operations plan.  The rules must require a winter preparedness emergency operations plan to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operating during extremely cold weather;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that addresses any known critical failure points of the entity, including any effects of weather design limits;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for operating during an emergency shortage of water or other critical supplies;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for identifying potentially extreme weather events;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for staffing during extreme weather events;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natural gas curtailment priorities and procedures, if applicable;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priorities for recovery of operational capacity or restoration of service,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identification of critical loads necessary to maintain production of electricity or natural gas;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communications plan that describes the procedures and threshold conditions for initiation of communication about a potential extreme weather event with the coordinating agencies, other coordinated entities, the public, the media, and customers;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affidavit from an owner, partner, officer, manager, or other official with responsibility for the entity's operations affirming that all relevant operating personnel of the entity are familiar with the contents of the emergency operations plan and that the personnel will follow the plan, except to the extent deviations are appropriate under the circumstances during an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emergency operations plan may be combined or coordinated with other preparedness reporting requirements, including requirements regarding other weather scenarios, natural disasters, cybersecurity events, physical security events, and pandemics.  A coordinating agency may authorize a coordinated entity to submit for the purposes of this section a plan required to be submitted to the agency under another provision of law if the plan includes the information required by this section to be included in an emergency operations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agencies shall analyze jointly emergency operations plans developed by coordinated entities in each even-numbered year and prepare a weather emergency preparedness report on power generation and natural gas weatherization preparedness in this state. </w:t>
      </w:r>
      <w:r>
        <w:rPr>
          <w:u w:val="single"/>
        </w:rPr>
        <w:t xml:space="preserve"> </w:t>
      </w:r>
      <w:r>
        <w:rPr>
          <w:u w:val="single"/>
        </w:rPr>
        <w:t xml:space="preserve">In preparing the report, the coordinating agencies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emergency operations plans on file with each of the coordinating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electric grid and natural gas system to withstand extreme weather events in the upcoming biennium;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biennium;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to ensure the continuity of electric and natural gas service, including identifying and defining potentially appropriate weatherization and emergency operations standards,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differentiate between existing and new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consider geography, suitable alternatives, cost-effectiveness, and other practical constraints.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coordinating agency may require a coordinated entity subject to the agency's jurisdiction and this section to file an updated emergency operations plan if the coordinating agency finds that an emergency operations plan on file does not contain sufficient information to determine whether the coordinated entity can provide adequate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coordinating agency may adopt rules relating to the implementation of the report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agencies shall submit the report described by Subsection (d) to the lieutenant governor, the speaker of the house of representatives, and the members of the legislature not later than September 30 of each even-numbered year.  The coordinating agencies may combine a report required by this section with a report required to be produced by a coordinating agency by another provision of law when making the submission required by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emergency operations plan submitted to a state agency under this section is confidential under Chapters 418 and 552, Government Code, and any other applicable law, and is not subject to disclosure under Chapter 552, Government Code. </w:t>
      </w:r>
      <w:r>
        <w:rPr>
          <w:u w:val="single"/>
        </w:rPr>
        <w:t xml:space="preserve"> </w:t>
      </w:r>
      <w:r>
        <w:rPr>
          <w:u w:val="single"/>
        </w:rPr>
        <w:t xml:space="preserve">If portions of a plan are directly referenced in the report described by Subsection (d), the information must be in a redacted form for public inspection with the confidential portions removed. </w:t>
      </w:r>
      <w:r>
        <w:rPr>
          <w:u w:val="single"/>
        </w:rPr>
        <w:t xml:space="preserve"> </w:t>
      </w:r>
      <w:r>
        <w:rPr>
          <w:u w:val="single"/>
        </w:rPr>
        <w:t xml:space="preserve">A coordinated entity in the ERCOT power region shall provide the entity's entire plan to the independent organization. </w:t>
      </w:r>
      <w:r>
        <w:rPr>
          <w:u w:val="single"/>
        </w:rPr>
        <w:t xml:space="preserve"> </w:t>
      </w:r>
      <w:r>
        <w:rPr>
          <w:u w:val="single"/>
        </w:rPr>
        <w:t xml:space="preserve">The independent organization shall maintain the confidentiality of the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Public Utility Commission of Texas and the Railroad Commission of Texas each shall notify coordinated entities under their respective jurisdictions of any potential deficiencies in entity emergency operations plans and describe any applicable winter weatherization and emergency operations standards recommended by the coordinating agencies. </w:t>
      </w:r>
      <w:r>
        <w:rPr>
          <w:u w:val="single"/>
        </w:rPr>
        <w:t xml:space="preserve"> </w:t>
      </w:r>
      <w:r>
        <w:rPr>
          <w:u w:val="single"/>
        </w:rPr>
        <w:t xml:space="preserve">Not later than the 30th day after the date a coordinated entity receives notice under this subsection, the entity in writing shall acknowledge to the Public Utility Commission of Texas or the Railroad Commission of Texas, as applicable, that the entity received the notice.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Public Utility Commission of Texas or the Railroad Commission of Texas, after notice and opportunity for hearing, may impose an administrative penalty on a coordinated entity subject to the agency's jurisdiction for failure to submit an emergency operations plan or respond to a notice of potential deficiency by the required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Railroad Commission of Texas shall adopt rules as required by Section 86.044, Natural Resources Code, as added by this Act, and Section 121.2015(a), Utilities Code, as amended by this Act, not later than November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Public Utility Commission of Texas and the Railroad Commission of Texas shall adopt the rules required by Section 186.008, Utilities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Railroad Commission of Texas is required to implement this Act only if the legislature appropriates money specifically for that purpose. </w:t>
      </w:r>
      <w:r>
        <w:t xml:space="preserve"> </w:t>
      </w:r>
      <w:r>
        <w:t xml:space="preserve">If the legislature does not appropriate money specifically for that purpose, the Railroad Commission of Texas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