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2021S0192-1  03/10/21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1755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license application procedures prescribed by the National Association of Insurance Commissioners for certain insurance adjusters.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4101.052,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 of Subsection (a) as it relates to adjusters described by Section 4101.001(a)(1)(C), the commissioner shall prescribe the National Association of Insurance Commissioners Uniform Application for Individual Adjuster or Apprentice License/Registration as it existed on May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4101.053, Insurance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take any action necessary for this state to participate in and adopt the application procedures of the National Association of Insurance Commissioners National Insurance Producer Registry for the purpose of licensing and license renewal for independent adjusters described by Section 4101.001(a)(1)(C).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commissioner of insurance shall adopt rules to implement Section 4101.053(e), Insurance Code, as added by this Act, not later than December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