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1776</w:t>
      </w:r>
    </w:p>
    <w:p w:rsidR="003F3435" w:rsidRDefault="0032493E">
      <w:pPr>
        <w:ind w:firstLine="720"/>
        <w:jc w:val="both"/>
      </w:pPr>
      <w:r>
        <w:t xml:space="preserve">(Bell of Kaufman, Allison, Toth,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elective course on the founding principles of the United States in the curriculum for public high school students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11.172.</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the posting of founding documents under Section 11.172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 </w:t>
      </w:r>
      <w:r>
        <w:rPr>
          <w:u w:val="single"/>
        </w:rPr>
        <w:t xml:space="preserve"> </w:t>
      </w:r>
      <w:r>
        <w:rPr>
          <w:u w:val="single"/>
        </w:rPr>
        <w:t xml:space="preserve">Each school district and open-enrollment charter school that offers a high school program shall provide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