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 Alvarado</w:t>
      </w:r>
      <w:r xml:space="preserve">
        <w:tab wTab="150" tlc="none" cTlc="0"/>
      </w:r>
      <w:r>
        <w:t xml:space="preserve">S.B.</w:t>
      </w:r>
      <w:r xml:space="preserve">
        <w:t> </w:t>
      </w:r>
      <w:r>
        <w:t xml:space="preserve">No.</w:t>
      </w:r>
      <w:r xml:space="preserve">
        <w:t> </w:t>
      </w:r>
      <w:r>
        <w:t xml:space="preserve">1788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distribution of emergency health resources by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161, Health and Safety Code, Subchapter A is amended by adding Section 161.0110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161.0110.</w:t>
      </w:r>
      <w:r>
        <w:rPr>
          <w:u w:val="single"/>
        </w:rPr>
        <w:t xml:space="preserve"> </w:t>
      </w:r>
      <w:r>
        <w:rPr>
          <w:u w:val="single"/>
        </w:rPr>
        <w:t xml:space="preserve"> </w:t>
      </w:r>
      <w:r>
        <w:rPr>
          <w:u w:val="single"/>
        </w:rPr>
        <w:t xml:space="preserve">PANDEMIC VACCINE DISTRIBUTION.  (a)  The state shall proportionally distribute to designated providers in each county in the state any vaccine or immunizing agent received or manufactured for the purpose of responding to a pandemic, state epidemic, or public health disaster under Section 81.003, Health and Safety Code,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population size;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the county population currently infected compared to the state population currently infected;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percentage of the county population who has died as a direct or in-direct result of the disease compared to the total number of people in the state who have died as a direct or in-direct result of the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state has a limited supply of vaccines or immunizing agents for distribution or has received an additional supply of vaccines or immunizing agents for distribution and has given priority designation to specific professions or groups of people to receive the vaccine or immunizing agent, the state shall distribute the vaccines or immunizing agents proportionally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population size;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the county population receiving priority designation by the state compared to the  total state population receiving priority designation by the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percentage of the county population currently infected compared to the state population currently infected;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percentage of the county population who has died as a direct or in-direct result of the disease compared to the total number of people in the state who have died as a direct or in-direct result of the disease.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(a-b) only apply to counties that are located in an area with a declared disaster under Section 418.014, 418.108, Government Code, as a result of a pandemic, state epidemic, or public health disaster under Section 81.003,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418.017, Government Code, is amended by adding subsections (d-f) to read as follows:</w:t>
      </w:r>
    </w:p>
    <w:p w:rsidR="003F3435" w:rsidRDefault="0032493E">
      <w:pPr>
        <w:spacing w:line="480" w:lineRule="auto"/>
        <w:ind w:firstLine="720"/>
        <w:jc w:val="both"/>
      </w:pPr>
      <w:r>
        <w:t xml:space="preserve">Sec.</w:t>
      </w:r>
      <w:r xml:space="preserve">
        <w:t> </w:t>
      </w:r>
      <w:r>
        <w:t xml:space="preserve">418.017</w:t>
      </w:r>
      <w:r xml:space="preserve">
        <w:t> </w:t>
      </w:r>
      <w:r xml:space="preserve">
        <w:t> </w:t>
      </w:r>
      <w:r>
        <w:t xml:space="preserve">USE OF PUBLIC AND PRIVATE RESOURCES.  (a)  The governor may use all available resources of state government and of political subdivisions that are reasonably necessary to cope with a disaster.</w:t>
      </w:r>
    </w:p>
    <w:p w:rsidR="003F3435" w:rsidRDefault="0032493E">
      <w:pPr>
        <w:spacing w:line="480" w:lineRule="auto"/>
        <w:ind w:firstLine="720"/>
        <w:jc w:val="both"/>
      </w:pPr>
      <w:r>
        <w:t xml:space="preserve">(b)</w:t>
      </w:r>
      <w:r xml:space="preserve">
        <w:t> </w:t>
      </w:r>
      <w:r xml:space="preserve">
        <w:t> </w:t>
      </w:r>
      <w:r>
        <w:t xml:space="preserve">The governor may temporarily reassign resources, personnel, or functions of state executive departments and agencies or their units for the purpose of performing or facilitating emergency services.</w:t>
      </w:r>
    </w:p>
    <w:p w:rsidR="003F3435" w:rsidRDefault="0032493E">
      <w:pPr>
        <w:spacing w:line="480" w:lineRule="auto"/>
        <w:ind w:firstLine="720"/>
        <w:jc w:val="both"/>
      </w:pPr>
      <w:r>
        <w:t xml:space="preserve">(c)</w:t>
      </w:r>
      <w:r xml:space="preserve">
        <w:t> </w:t>
      </w:r>
      <w:r xml:space="preserve">
        <w:t> </w:t>
      </w:r>
      <w:r>
        <w:t xml:space="preserve">The governor may commandeer or use any private property if the governor finds it necessary to cope with a disaster, subject to the compensation requirements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personal protective equipment, sanitation equipment  or any other public or private resource designated for responding to a  pandemic, state epidemic or public health  disaster  under Section  81.003, Health and Safety Code, must be  proportionately distributed to each county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population size;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the county population currently infected compared to the state population currently infected;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percentage of the county population who has died as a direct or in-direct result of the disease compared to the total number of people in the state who have died as a direct or in-direct result of the disease.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state has a limited supply or an additional supply of personal protective equipment, sanitation equipment or any other public or private resource designated for responding to a pandemic, state epidemic or public health disaster under Section 81.003, Health and Safety Code, and has given priority designation to specific professions or groups of people to receive designated resources, the state must proportionately distributed resources to each county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population size;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the county population receiving priority designation by the state compared to the total state population receiving priority designation by the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percentage of the county population currently infected compared to the state population currently infected;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percentage of the county population who has died as a direct or in-direct result of the disease compared to the total number of people in the state who have died as a direct or in-direct result of the disease.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Sections (d-e) only apply to counties that are located in an area with a declared disaster under Section  418.014, 418.108, as a result of a pandemic, state epidemic, or health crisis.</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