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87R8022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restricting the written information a public school teacher is required to provide in a lesson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11.164,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teacher may not be required to include in a lesson plan prepared in accordance with Subsection (a)(6):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or reproduction of the assessments;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or indication of cognitive levels;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listing of differentiated activities or modifications for special populations.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