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87R11937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leave pool for school district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 Education Code, is amended by adding Subsections (a-1) and (a-2) and amending Subsection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all other days of leave provided by this section or by the school district, a school district shall provide one day of personal leave per district employee in a leave pool established by the district board of trustees in accordance with this subsection and Subsection (a-2).  The district shall allow an employee to voluntarily contribute to the leave pool created under this subsection one or more additional days of personal leave accumulated by the employee. The district shall credit the leave pool with the number of days of personal leave contributed by the employee and deduct a corresponding number of days of leave from the employee's accrued personal leave as if the employee had taken the leave.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establishing a leave pool under Subsection (a-1), the board of trustees of a school district shall adopt procedures for the administration and operation of the leave pool. The procedures must ensure that the number of days of personal leave that an employee is permitted to use from the leave pool is related to the number of personal days of leave contributed by the employee under Subsection (a-1).</w:t>
      </w:r>
    </w:p>
    <w:p w:rsidR="003F3435" w:rsidRDefault="0032493E">
      <w:pPr>
        <w:spacing w:line="480" w:lineRule="auto"/>
        <w:ind w:firstLine="720"/>
        <w:jc w:val="both"/>
      </w:pPr>
      <w:r>
        <w:t xml:space="preserve">(c-1)</w:t>
      </w:r>
      <w:r xml:space="preserve">
        <w:t> </w:t>
      </w:r>
      <w:r xml:space="preserve">
        <w:t> </w:t>
      </w:r>
      <w:r>
        <w:t xml:space="preserve">Any informational handbook a school district provides to employees in an electronic or paper form or makes available by posting on the district website must include </w:t>
      </w:r>
      <w:r>
        <w:rPr>
          <w:u w:val="single"/>
        </w:rPr>
        <w:t xml:space="preserve">information on the leave pool created under Subsection (a-1) and</w:t>
      </w:r>
      <w:r>
        <w:t xml:space="preserve"> notification of an employee's rights under Subsection (b) in the relevant section of the handbook. Any form used by a school district through which an employee may request leave under this section must include assault leave under Subsection (b) as an option.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