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87R11821 CAE-F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children who are enrolled in a child care services program administered by the Texas Workforce Commission for free prekindergarten programs in public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29.153(b),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child is eligible for enrollment in a prekindergarten class under this section if the child is at least three years of age and: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unable to speak and comprehend the English language;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educationally disadvantaged;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homeless, regardless of the residence of the child, of either parent of the child, or of the child's guardian or other person having lawful control of the child;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is the child of an active duty member of the armed forces of the United States, including the state military forces or a reserve component of the armed forces, who is ordered to active duty by proper authority;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is the child of a member of the armed forces of the United States, including the state military forces or a reserve component of the armed forces, who was injured or killed while serving on active duty;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is or ever has been in the conservatorship of the Department of Family and Protective Services following an adversary hearing held as provided by Section 262.201, Family Code;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is the child of a person eligible for the Star of Texas Award as: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peace officer under Section 3106.002, Government Code;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firefighter under Section 3106.003, Government Code;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emergency medical first responder under Section 3106.004, Government Code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(8)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dually enrolled in a public or private child care program and a prekindergarten program provided through the child care services program administered by the Texas Workforce Commission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2021-2022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