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87R11971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broadband Internet connectivity and broadband access grant program to facilitate instruction and learning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Education Code, is amended by adding Subchapter H to read as follows:</w:t>
      </w:r>
    </w:p>
    <w:p w:rsidR="003F3435" w:rsidRDefault="0032493E">
      <w:pPr>
        <w:spacing w:line="480" w:lineRule="auto"/>
        <w:jc w:val="center"/>
      </w:pPr>
      <w:r>
        <w:rPr>
          <w:u w:val="single"/>
        </w:rPr>
        <w:t xml:space="preserve">SUBCHAPTER H.  BROADBAND INTERNET ACCESS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32.321.</w:t>
      </w:r>
      <w:r>
        <w:rPr>
          <w:u w:val="single"/>
        </w:rPr>
        <w:t xml:space="preserve"> </w:t>
      </w:r>
      <w:r>
        <w:rPr>
          <w:u w:val="single"/>
        </w:rPr>
        <w:t xml:space="preserve"> </w:t>
      </w:r>
      <w:r>
        <w:rPr>
          <w:u w:val="single"/>
        </w:rPr>
        <w:t xml:space="preserve">ESTABLISHMENT OF PROGRAM.  (a)  The agency shall establish a broadband Internet access grant program to provide grants to school districts for the purpose of incentivizing districts to develop unique or inventive methods for increasing  broadband Internet access to facilitate instruction and learning for district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apply to the commissioner to participate in the grant program.  The commissioner shall develop eligibility criteria for school districts to receive grants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determine the terms of a grant awarded under this section, including limits on the amount of a grant and the approved uses of grant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32.322.</w:t>
      </w:r>
      <w:r>
        <w:rPr>
          <w:u w:val="single"/>
        </w:rPr>
        <w:t xml:space="preserve"> </w:t>
      </w:r>
      <w:r>
        <w:rPr>
          <w:u w:val="single"/>
        </w:rPr>
        <w:t xml:space="preserve"> </w:t>
      </w:r>
      <w:r>
        <w:rPr>
          <w:u w:val="single"/>
        </w:rPr>
        <w:t xml:space="preserve">FUNDING.  (a)  The commissioner shall use funds appropriated or other funds available for the purpose of the grant program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solicit and accept gifts, grants, and donations from any public or private source, including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32.323.</w:t>
      </w:r>
      <w:r>
        <w:rPr>
          <w:u w:val="single"/>
        </w:rPr>
        <w:t xml:space="preserve"> </w:t>
      </w:r>
      <w:r>
        <w:rPr>
          <w:u w:val="single"/>
        </w:rPr>
        <w:t xml:space="preserve"> </w:t>
      </w:r>
      <w:r>
        <w:rPr>
          <w:u w:val="single"/>
        </w:rPr>
        <w:t xml:space="preserve">RULES.  The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