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87R11388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Texas emissions reduction plan funds for a small non-road engine purchase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small non-road engines purchase incentive program established under Subchapter 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two percent may be used for the small non-road engine purchase incentive program established under Subchapter G;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386, Health and Safety Code, is amended by adding Subchapter G to read as follows:</w:t>
      </w:r>
    </w:p>
    <w:p w:rsidR="003F3435" w:rsidRDefault="0032493E">
      <w:pPr>
        <w:spacing w:line="480" w:lineRule="auto"/>
        <w:jc w:val="center"/>
      </w:pPr>
      <w:r>
        <w:rPr>
          <w:u w:val="single"/>
        </w:rPr>
        <w:t xml:space="preserve">SUBCHAPTER G.  SMALL NON-ROAD ENGINE PURCHASE INCENTIVE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"Four-stroke engine" means an engine that goes through the steps of compression, power, exhaust, and intake in four piston strokes.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"Non-road engine" means equipment powered by an engine with under 25 horsepower.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"Ozone precursors" means pollutants, including nitrogen oxides and volatile organic compounds, that create ground level ozone through chemical reactions.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small non-road engine program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"Two-stroke engine" means an engine that goes through the steps of compression, power, exhaust, and intake in two piston strokes and mixes fuel with oil in the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386.302.</w:t>
      </w:r>
      <w:r>
        <w:rPr>
          <w:u w:val="single"/>
        </w:rPr>
        <w:t xml:space="preserve"> </w:t>
      </w:r>
      <w:r>
        <w:rPr>
          <w:u w:val="single"/>
        </w:rPr>
        <w:t xml:space="preserve"> </w:t>
      </w:r>
      <w:r>
        <w:rPr>
          <w:u w:val="single"/>
        </w:rPr>
        <w:t xml:space="preserve">PROGRAM CREATION; PURPOSE. (a)  The commission shall develop a purchase incentive program designed to reduce emissions, including the emissions of ozone precursors, particulate matter, and carbon monoxide, produced by two-stroke and four-stroke non-road engines.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authorize statewide financial incentives for the purchase of certain batteries and new electrically-powered non-road engines by persons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necessary to implement the program, including designating alternative technologies and products eligible for incentives.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386.303.</w:t>
      </w:r>
      <w:r>
        <w:rPr>
          <w:u w:val="single"/>
        </w:rPr>
        <w:t xml:space="preserve"> </w:t>
      </w:r>
      <w:r>
        <w:rPr>
          <w:u w:val="single"/>
        </w:rPr>
        <w:t xml:space="preserve"> </w:t>
      </w:r>
      <w:r>
        <w:rPr>
          <w:u w:val="single"/>
        </w:rPr>
        <w:t xml:space="preserve">ELIGIBILITY.  (a)  The purchase of certain batteries or non-road engines by a person in this state is eligible for an incentive under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battery purchased is necessary to improve the efficiency of an electrically-powered non-road engine owned or operated by the person, as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non-road engine purchased is electrically-powered or powered by another alternative technology designated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 meaningfully reduces emissions in this state, as determined under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purchase satisfies any minimum purchase quantity requirements established by the commission to ensure efficient administration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criteria for determining whether a purchase of non-road engines or certain batteries meaningfully reduces emissions in this state. The commission shall review and revise the criteria as appropriate. The criteria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frequency of use of the newly purchased non-road engine;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to which the purchase reduces the use of existing two-stroke and four-stroke non-road engines;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cost-effectiveness of the purchase as it relates to advancing the purpose of the program under Section 386.301.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establishing criteria under this section, the commission may allow for greater incentives for purchases that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risks to operators when using equipment with non-road engines;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emissions of ozone precursors from non-road engines that operate primarily within a nonattainment area or an affected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require the disposal of a two-stroke engine or four-stroke engines replaced by a non-road engine that is the subject of an incentive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386.304.</w:t>
      </w:r>
      <w:r>
        <w:rPr>
          <w:u w:val="single"/>
        </w:rPr>
        <w:t xml:space="preserve"> </w:t>
      </w:r>
      <w:r>
        <w:rPr>
          <w:u w:val="single"/>
        </w:rPr>
        <w:t xml:space="preserve"> </w:t>
      </w:r>
      <w:r>
        <w:rPr>
          <w:u w:val="single"/>
        </w:rPr>
        <w:t xml:space="preserve">APPLICATION FOR INCENTIVE.  (a)  A person who makes a purchase that meets the eligibility requirements under Section 386.303 may apply for an incentive under the program.</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an incentive under this chapter must be made on a form provided by the commission and must contain any information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project meets eligibility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efficient administration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reduce the administrative burden for the commission and applicants, the commission may streamline the application process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data entry and the copying of applications;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 system to accept applications electronically through the commission's Internet website.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386.305.</w:t>
      </w:r>
      <w:r>
        <w:rPr>
          <w:u w:val="single"/>
        </w:rPr>
        <w:t xml:space="preserve"> </w:t>
      </w:r>
      <w:r>
        <w:rPr>
          <w:u w:val="single"/>
        </w:rPr>
        <w:t xml:space="preserve"> </w:t>
      </w:r>
      <w:r>
        <w:rPr>
          <w:u w:val="single"/>
        </w:rPr>
        <w:t xml:space="preserve">AMOUNT OF INCENTIVE; ADMINISTRATION.  (a)  An incentive provided under this subchapter may not exceed 80 percent of the cost of eligible purchases of non-road engines and certain batteries.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set standards for determining incentive amounts, and may revise these standards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reflect changes to federal emission standards and developments in technological capabilities and scientific knowledge;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the cost-effectiveness of the program in reducing emissions.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publicize and promote the availability of incentives under this subchapter to encourage eligible purchases of non-road engines.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include in the biennial plan report required by Section 386.057(b) a report of commission actions and results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Commission on Environmental Quality shall adopt rules and establish procedures under Subchapter G, Chapter 386, Health and Safety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