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87R14026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contingent fee contracts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to read as follows:</w:t>
      </w:r>
    </w:p>
    <w:p w:rsidR="003F3435" w:rsidRDefault="0032493E">
      <w:pPr>
        <w:spacing w:line="480" w:lineRule="auto"/>
        <w:ind w:firstLine="720"/>
        <w:jc w:val="both"/>
      </w:pPr>
      <w:r>
        <w:t xml:space="preserve">Sec.</w:t>
      </w:r>
      <w:r xml:space="preserve">
        <w:t> </w:t>
      </w:r>
      <w:r>
        <w:t xml:space="preserve">2254.101.</w:t>
      </w:r>
      <w:r xml:space="preserve">
        <w:t> </w:t>
      </w:r>
      <w:r xml:space="preserve">
        <w:t> </w:t>
      </w:r>
      <w:r>
        <w:t xml:space="preserve">DEFINITIONS.  In this subchapter:</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  </w:t>
      </w:r>
      <w:r>
        <w:rPr>
          <w:u w:val="single"/>
        </w:rPr>
        <w:t xml:space="preserve">A "contingent fee contract" includes an amendment to a contingent fee contract if the amendment changes the scope of representation or may result in the filing of a lawsuit or the amending of a petition in an existing lawsuit.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contract or contract amendment signed or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