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1822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dates of certain elections to be held in 2022.</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 Election Code, is amended by adding Section 41.0075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41.0075.</w:t>
      </w:r>
      <w:r>
        <w:rPr>
          <w:u w:val="single"/>
        </w:rPr>
        <w:t xml:space="preserve"> </w:t>
      </w:r>
      <w:r>
        <w:rPr>
          <w:u w:val="single"/>
        </w:rPr>
        <w:t xml:space="preserve"> </w:t>
      </w:r>
      <w:r>
        <w:rPr>
          <w:u w:val="single"/>
        </w:rPr>
        <w:t xml:space="preserve">PRIMARY ELECTION: TEMPORARY PROVISION. </w:t>
      </w:r>
      <w:r>
        <w:rPr>
          <w:u w:val="single"/>
        </w:rPr>
        <w:t xml:space="preserve"> </w:t>
      </w:r>
      <w:r>
        <w:rPr>
          <w:u w:val="single"/>
        </w:rPr>
        <w:t xml:space="preserve">(a) </w:t>
      </w:r>
      <w:r>
        <w:rPr>
          <w:u w:val="single"/>
        </w:rPr>
        <w:t xml:space="preserve"> </w:t>
      </w:r>
      <w:r>
        <w:rPr>
          <w:u w:val="single"/>
        </w:rPr>
        <w:t xml:space="preserve">This section supersedes any conflicting statute with respect to a primary election to be held in 2022.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this section, a redistricting plan "becomes law"</w:t>
      </w:r>
      <w:r>
        <w:rPr>
          <w:u w:val="single"/>
        </w:rPr>
        <w:t xml:space="preserve"> </w:t>
      </w:r>
      <w:r>
        <w:rPr>
          <w:u w:val="single"/>
        </w:rPr>
        <w:t xml:space="preserve">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governor signs an Act of the 87th Legislature relating to the composition of the State Board of Education, state legislative, or federal congressional districts;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 the time for gubernatorial action on an Act of the 87th Legislature relating to the composition of the State Board of Education, state legislative, or federal congressional districts expires under Section 14, Article IV,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redistricting plan adopted following the 2020 federal census by the legislature under Section 28, Article III, Texas Constitution, that includes a State Board of Education, state legislative, or federal congressional district becomes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or before November 22, 2021, the following dates related to the primary election for the election of officers for the district shall apply: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application for a place on the general primary election ballot must be filed not earlier than November 29, 2021, and not later than 6 p.m. on December 13, 2021;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general primary election date is March 1, 2022;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runoff primary election date is May 24, 2022;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November 22, 2021, and on or before January 3, 2022, the following dates related to the primary election for the election of officers for the district shall apply: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application for a place on the general primary election ballot must be filed not earlier than January 10, 2022, and not later than 6 p.m. on January 24, 2022;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general primary election date is April 5, 2022;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runoff primary election date is June 21, 2022;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after January 3, 2022, and on or before February 14, 2022, the following dates related to the primary election for the election of officers for the district shall apply: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application for a place on the general primary election ballot must be filed not earlier than February 21, 2022, and not later than 6 p.m. on March 7, 2022;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general primary election date is May 24, 2022;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runoff primary election date is July 26, 2022.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plan for a State Board of Education, state legislative, or federal congressional district becomes law on dates included under more than one subdivision of Subsection (c), the date provided for the filing period applicable to the effective date of each plan applies, but the latest date provided for the date of the general and runoff primary elections of all of the subdivisions applicable to the effective date of a plan shall apply.  The county chair shall conduct the drawing to determine the order of the candidates' names on the general primary election ballot in accordance with Section 172.082(c) after the date of the latest applicable filing deadline.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redistricting plan to which this section applies has not become law on or before February 14, 2022, the general and runoff primary elections for the election of officers for each district for which a plan has become law shall be held on the dates provided by Subsection (c)(3).  The secretary of state shall set the dates of the filing period and the general and runoff primary elections for the election of officers of any district for which a plan has not become law on or before February 14, 2022.  In setting dates under this section, the secretary of state shall ensure the efficient and orderly administration of elections and shall, to the extent practicable, set dates in a manner that allows the same interval of time in relation to the date of the election as would be provided by the application of other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date set for the general primary election under Subsection (c) or (d) shall be the date of any general or primary election held under this code.  If Subsection (e) applies, any general or primary election held under this code and for which the date will not be set by the secretary of state under Subsection (e) shall be held in accordance with Subsection (c)(3).</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as provided by this section, the secretary of state shall adjust the schedule for canvassing election returns, declaring results, or performing any other official act relating to an election held on a date under this section as necessary for the efficient and orderly administration of the election. </w:t>
      </w:r>
      <w:r>
        <w:rPr>
          <w:u w:val="single"/>
        </w:rPr>
        <w:t xml:space="preserve"> </w:t>
      </w:r>
      <w:r>
        <w:rPr>
          <w:u w:val="single"/>
        </w:rPr>
        <w:t xml:space="preserve">To the extent practicable, the secretary of state shall adjust schedules under this subsection in a manner that allows the same interval of time in relation to the date of the election as would be provided by the application of other law.</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expires January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