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87R13998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postponement of certain dates relating to elections to be held in 2022.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AUTHORITY OF THE SECRETARY OF STATE IN SPECIAL CIRCUMSTANCE.  (a)  Notwithstanding any other provision of law, the secretary of state may postpone the date of the general primary election to be held in 2022 if a redistricting plan adopted by the legislature or the Legislative Redistricting Board under Section 28, Article III, Texas Constitution, is not in effect on or before November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general primary election date is postponed under this section, the secretary of state shall adjust the date for a runoff election, the deadline for filing for candidacy, and the schedule for canvassing election returns, declaring results, or performing any other official act relating to the election to allow the same interval of time in relation to the date of the election as would be provided by application of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law, the secretary of state may, by rule, postpone any deadline related to the 2022 general election for state and county officers as necessary to accommodate any postponement made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2023.</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