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87R14873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contributions to and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825.4035, Government Code, is amended by amending Subsection (e) to read as follows:</w:t>
      </w:r>
    </w:p>
    <w:p w:rsidR="003F3435" w:rsidRDefault="0032493E">
      <w:pPr>
        <w:spacing w:line="480" w:lineRule="auto"/>
        <w:ind w:firstLine="720"/>
        <w:jc w:val="both"/>
      </w:pPr>
      <w:r>
        <w:t xml:space="preserve">(e)</w:t>
      </w:r>
      <w:r xml:space="preserve">
        <w:t> </w:t>
      </w:r>
      <w:r xml:space="preserve">
        <w:t> </w:t>
      </w:r>
      <w:r>
        <w:t xml:space="preserve">For purposes of Subsections (b)(3)(A) and (c)(3)(A), the rate of contribution is:</w:t>
      </w:r>
    </w:p>
    <w:p w:rsidR="003F3435" w:rsidRDefault="0032493E">
      <w:pPr>
        <w:spacing w:line="480" w:lineRule="auto"/>
        <w:ind w:firstLine="1440"/>
        <w:jc w:val="both"/>
      </w:pPr>
      <w:r>
        <w:t xml:space="preserve">(1)</w:t>
      </w:r>
      <w:r xml:space="preserve">
        <w:t> </w:t>
      </w:r>
      <w:r xml:space="preserve">
        <w:t> </w:t>
      </w:r>
      <w:r>
        <w:t xml:space="preserve">1.5 percent beginning with the report month of September 2019 and ending with the report month of August 2020;</w:t>
      </w:r>
    </w:p>
    <w:p w:rsidR="003F3435" w:rsidRDefault="0032493E">
      <w:pPr>
        <w:spacing w:line="480" w:lineRule="auto"/>
        <w:ind w:firstLine="1440"/>
        <w:jc w:val="both"/>
      </w:pPr>
      <w:r>
        <w:t xml:space="preserve">(2)</w:t>
      </w:r>
      <w:r xml:space="preserve">
        <w:t> </w:t>
      </w:r>
      <w:r xml:space="preserve">
        <w:t> </w:t>
      </w:r>
      <w:r>
        <w:t xml:space="preserve">1.6 percent beginning with the report month of September 2020 and ending with the report month of August 2021;</w:t>
      </w:r>
    </w:p>
    <w:p w:rsidR="003F3435" w:rsidRDefault="0032493E">
      <w:pPr>
        <w:spacing w:line="480" w:lineRule="auto"/>
        <w:ind w:firstLine="1440"/>
        <w:jc w:val="both"/>
      </w:pPr>
      <w:r>
        <w:t xml:space="preserve">(3)</w:t>
      </w:r>
      <w:r xml:space="preserve">
        <w:t> </w:t>
      </w:r>
      <w:r xml:space="preserve">
        <w:t> </w:t>
      </w:r>
      <w:r>
        <w:t xml:space="preserve">[</w:t>
      </w:r>
      <w:r>
        <w:rPr>
          <w:strike/>
        </w:rPr>
        <w:t xml:space="preserve">1.7</w:t>
      </w:r>
      <w:r>
        <w:t xml:space="preserve">] </w:t>
      </w:r>
      <w:r>
        <w:rPr>
          <w:u w:val="single"/>
        </w:rPr>
        <w:t xml:space="preserve">1.8</w:t>
      </w:r>
      <w:r>
        <w:t xml:space="preserve"> percent beginning with the report month of September 2021 and ending with the report month of August 2022;</w:t>
      </w:r>
    </w:p>
    <w:p w:rsidR="003F3435" w:rsidRDefault="0032493E">
      <w:pPr>
        <w:spacing w:line="480" w:lineRule="auto"/>
        <w:ind w:firstLine="1440"/>
        <w:jc w:val="both"/>
      </w:pPr>
      <w:r>
        <w:t xml:space="preserve">(4)</w:t>
      </w:r>
      <w:r xml:space="preserve">
        <w:t> </w:t>
      </w:r>
      <w:r xml:space="preserve">
        <w:t> </w:t>
      </w:r>
      <w:r>
        <w:t xml:space="preserve">1.8 percent beginning with the report month of September 2022 and ending with the report month of August 2023;</w:t>
      </w:r>
    </w:p>
    <w:p w:rsidR="003F3435" w:rsidRDefault="0032493E">
      <w:pPr>
        <w:spacing w:line="480" w:lineRule="auto"/>
        <w:ind w:firstLine="1440"/>
        <w:jc w:val="both"/>
      </w:pPr>
      <w:r>
        <w:t xml:space="preserve">(5)</w:t>
      </w:r>
      <w:r xml:space="preserve">
        <w:t> </w:t>
      </w:r>
      <w:r xml:space="preserve">
        <w:t> </w:t>
      </w:r>
      <w:r>
        <w:t xml:space="preserve">1.9 percent beginning with the report month of September 2023 and ending with the report month of August 2024; and</w:t>
      </w:r>
    </w:p>
    <w:p w:rsidR="003F3435" w:rsidRDefault="0032493E">
      <w:pPr>
        <w:spacing w:line="480" w:lineRule="auto"/>
        <w:ind w:firstLine="1440"/>
        <w:jc w:val="both"/>
      </w:pPr>
      <w:r>
        <w:t xml:space="preserve">(6)</w:t>
      </w:r>
      <w:r xml:space="preserve">
        <w:t> </w:t>
      </w:r>
      <w:r xml:space="preserve">
        <w:t> </w:t>
      </w:r>
      <w:r>
        <w:t xml:space="preserve">two percent beginning with the report month of September 2024 and for each subsequent report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