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certain private or independent institutions of higher education to participate in the tuition equalization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61.222,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coordinating board may not approve an institution under this section unless, for the preceding academic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there is another eligible institution in the county and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institution's average graduation rate for students graduating within six years of their initial enrollment at the institution is equal to or greater than the average six-year graduation rate of institutions of higher education and private or independent institutions of higher education as determined by the coordinating board;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average amount of student loan debt at graduation from an undergraduate program at the institution is equal to or less than the average amount of student loan debt at graduation from undergraduate programs at institutions of higher education and private or independent institutions of higher education as determined by the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