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opioid abatement account, an opioid abatement trust fund, and a statewide opioid settlement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403, Government Code, is amended by adding Subchapter R to read as follows:</w:t>
      </w:r>
    </w:p>
    <w:p w:rsidR="003F3435" w:rsidRDefault="0032493E">
      <w:pPr>
        <w:spacing w:line="480" w:lineRule="auto"/>
        <w:jc w:val="center"/>
      </w:pPr>
      <w:r>
        <w:rPr>
          <w:u w:val="single"/>
        </w:rPr>
        <w:t xml:space="preserve">SUBCHAPTER R. </w:t>
      </w:r>
      <w:r>
        <w:rPr>
          <w:u w:val="single"/>
        </w:rPr>
        <w:t xml:space="preserve"> </w:t>
      </w:r>
      <w:r>
        <w:rPr>
          <w:u w:val="single"/>
        </w:rPr>
        <w:t xml:space="preserve">STATEWIDE OPIOID SETTLEMENT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opioid abatement account established by Section 403.505.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Texas opioid abatement fund council established by Section 403.503 to manage the distribution of money allocated to the council from the opioid abatement trust fund in accordance with a statewide opioid settlement agreement.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 means the opioid abatement trust fund established by Section 403.506.</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"Released entity" means an entity against which a claim is released under a statewide opioid settlement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"Statewide opioid settlement agreement" means all settlement agreements and related documents entered into by this state through the attorney general, political subdivisions that have brought a civil action for an opioid-related harm claim against an opioid manufacturer, distributor, or retailer, and opioid manufacturers, distributors, or retailers relating to illegal conduct in the marketing, promotion, sale, distribution, and dispensation of opioids that provide relief for this state and political subdivisions of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403.502.</w:t>
      </w:r>
      <w:r>
        <w:rPr>
          <w:u w:val="single"/>
        </w:rPr>
        <w:t xml:space="preserve"> </w:t>
      </w:r>
      <w:r>
        <w:rPr>
          <w:u w:val="single"/>
        </w:rPr>
        <w:t xml:space="preserve"> </w:t>
      </w:r>
      <w:r>
        <w:rPr>
          <w:u w:val="single"/>
        </w:rPr>
        <w:t xml:space="preserve">SETTLEMENT RECORDS.  The attorney general and comptroller shall maintain a copy of a statewide opioid settlement agreement, including any amendments to the agreement, and make the copy available on the attorney general's and comptroller's Internet websites.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403.503.</w:t>
      </w:r>
      <w:r>
        <w:rPr>
          <w:u w:val="single"/>
        </w:rPr>
        <w:t xml:space="preserve"> </w:t>
      </w:r>
      <w:r>
        <w:rPr>
          <w:u w:val="single"/>
        </w:rPr>
        <w:t xml:space="preserve"> </w:t>
      </w:r>
      <w:r>
        <w:rPr>
          <w:u w:val="single"/>
        </w:rPr>
        <w:t xml:space="preserve">TEXAS OPIOID ABATEMENT FUND COUNCIL.  (a)</w:t>
      </w:r>
      <w:r>
        <w:rPr>
          <w:u w:val="single"/>
        </w:rPr>
        <w:t xml:space="preserve"> </w:t>
      </w:r>
      <w:r>
        <w:rPr>
          <w:u w:val="single"/>
        </w:rPr>
        <w:t xml:space="preserve"> </w:t>
      </w:r>
      <w:r>
        <w:rPr>
          <w:u w:val="single"/>
        </w:rPr>
        <w:t xml:space="preserve">The Texas opioid abatement fund council is established to ensure that money recovered by this state through a statewide opioid settlement agreement is allocated fairly and spent to remediate the opioid crisis in this state by using efficient and cost-effective methods that are directed to regions of this state experiencing opioid-related harms.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following 14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regional members, appointed by the executive commissioner of the Health and Human Services Commission, who are from academia or the medical profession with significant experience in opioid interventions and who each are appointed to represent one of the following groups of regional health care partnership regions: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regions 9 and 10;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region 3;</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regions 11, 12, 13, 14, 15, and 19;</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regions 6, 7, 8, and 16;</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regions 1, 2, 17, and 18;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regions 4, 5, and 20;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who are current or retired health care professionals holding or formerly holding a license under Title 3, Occupations Code, with significant experience in treating opioid-related harms and who are appointed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appointed by the lieutenant governor;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member appointed by the speaker of the house of representatives;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member appointed by 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is employed by a hospital district and is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is employed by a hospital district and is appointed by the attorney general;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and who is a member of a law enforcement agency and has experience with opioid-related harms;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nonvoting member who serves as the presiding officer of the council and is the comptroller or the comptroller's designee.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appointments under Subsection (b)(1), the executive commissioner of the Health and Human Services Commission shall appoint members from a list of two qualified candidates provided by the governing bodies of counties and municipalities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brought a civil action for an opioid-related harm against a released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released an opioid-related harm claim in a statewide opioid settlement agreement;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located within the regions for which the member is being appointed.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under Subsection (b), the governor, lieutenant governor, speaker of the house of representatives, and attorney general shall coordinate to ensure that the membership of the council reflects, to the extent possible, the ethnic and geographic diversity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is administratively attached to the comptroller. </w:t>
      </w:r>
      <w:r>
        <w:rPr>
          <w:u w:val="single"/>
        </w:rPr>
        <w:t xml:space="preserve"> </w:t>
      </w:r>
      <w:r>
        <w:rPr>
          <w:u w:val="single"/>
        </w:rPr>
        <w:t xml:space="preserve">The comptroller shall provide the staff and facilities necessary to assist the council in performing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403.504.</w:t>
      </w:r>
      <w:r>
        <w:rPr>
          <w:u w:val="single"/>
        </w:rPr>
        <w:t xml:space="preserve"> </w:t>
      </w:r>
      <w:r>
        <w:rPr>
          <w:u w:val="single"/>
        </w:rPr>
        <w:t xml:space="preserve"> </w:t>
      </w:r>
      <w:r>
        <w:rPr>
          <w:u w:val="single"/>
        </w:rPr>
        <w:t xml:space="preserve">COUNCIL OPERATION.  (a)</w:t>
      </w:r>
      <w:r>
        <w:rPr>
          <w:u w:val="single"/>
        </w:rPr>
        <w:t xml:space="preserve"> </w:t>
      </w:r>
      <w:r>
        <w:rPr>
          <w:u w:val="single"/>
        </w:rPr>
        <w:t xml:space="preserve"> </w:t>
      </w:r>
      <w:r>
        <w:rPr>
          <w:u w:val="single"/>
        </w:rPr>
        <w:t xml:space="preserve">A council member is not entitled to compensation for council service but is entitled to reimbursement for actual and necessary expenses incurred in performing council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hold public meetings as necessary to fulfill its duties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is subject to Chapters 551 and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403.505.</w:t>
      </w:r>
      <w:r>
        <w:rPr>
          <w:u w:val="single"/>
        </w:rPr>
        <w:t xml:space="preserve"> </w:t>
      </w:r>
      <w:r>
        <w:rPr>
          <w:u w:val="single"/>
        </w:rPr>
        <w:t xml:space="preserve"> </w:t>
      </w:r>
      <w:r>
        <w:rPr>
          <w:u w:val="single"/>
        </w:rPr>
        <w:t xml:space="preserve">OPIOID ABATEMENT ACCOUNT.  (a)</w:t>
      </w:r>
      <w:r>
        <w:rPr>
          <w:u w:val="single"/>
        </w:rPr>
        <w:t xml:space="preserve"> </w:t>
      </w:r>
      <w:r>
        <w:rPr>
          <w:u w:val="single"/>
        </w:rPr>
        <w:t xml:space="preserve"> </w:t>
      </w:r>
      <w:r>
        <w:rPr>
          <w:u w:val="single"/>
        </w:rPr>
        <w:t xml:space="preserve">The opioid abatement account is a dedicated account in the general revenue fund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obtained from a statewide opioid settlement agreement and deposited in the account under Section 403.507;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by the state from any other source resulting directly or indirectly from an action by the state against an opioid manufacturer, an opioid distributor, or another person in the opioid industry relating to a violation of state or federal law on the manufacture, marketing, distribution, or sale of opioids, other than money distributed to a political subdivision of the state in accordance with the terms of a settlement agreement or judgment;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or transferred to the account by the legislature;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and grants contributed to the account;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earnings on the principal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to a state agency for the abatement of opioid-related harms.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may use money appropriated from the account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efforts to prevent or reduce deaths from opioid overdoses or other opioid-related harms, including through increasing the availability or distribution of naloxone or other opioid antagonists for use by health care providers, first responders, persons experiencing an opioid overdose, families, schools, community-based service providers, social workers, or other members of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needs of persons involved with criminal justice;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rural county unattended deaths;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further any other purpose related to opioid abatement authorized by appropriation.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404.071 does not apply to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403.506.</w:t>
      </w:r>
      <w:r>
        <w:rPr>
          <w:u w:val="single"/>
        </w:rPr>
        <w:t xml:space="preserve"> </w:t>
      </w:r>
      <w:r>
        <w:rPr>
          <w:u w:val="single"/>
        </w:rPr>
        <w:t xml:space="preserve"> </w:t>
      </w:r>
      <w:r>
        <w:rPr>
          <w:u w:val="single"/>
        </w:rPr>
        <w:t xml:space="preserve">OPIOID ABATEMENT TRUST FUND.  (a)  The opioid abatement trust fund is a trust fund established outside of the state treasury for the purposes of this subchapter that is administered by the trust company.  The trust company may authorize money from the fund to be invested with money from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obtained under a statewide opioid settlement agreement and deposited in the fund under Section 403.507;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dividends, and other income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company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 to counties and municipalities to address opioid-related harms in those communities an amount equal to 15 percent of the total amount of money obtained under a statewide opioid settlement agreement and distributed to the fund and the account under Section 403.507;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an amount equal to 70 percent of the total amount of money obtained under a statewide opioid settlement agreement and distributed to the fund and the account under Section 403.507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 million of the amount distributed to the fund to the Texas Access to Justice Foundation to be expended only on the order of the Supreme Court of Texas for the purpose of providing basic civil legal services to indigent persons directly impacted by opioid-use disorders, including children who need basic civil legal services as a result of opioid-use disorders by a parent, legal guardian or caretaker;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remainder of that 70 percent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distribute money allocated under Subsection (c)(2) at the direction of the council.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provide to the trust company an annual forecast of money deposited and withdrawn from the fund and provide updates to the forecast as appropriate to ensure the trust company is able to achieve the council's directives.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investing money from the fund and subject to the council's direction, the trust company has the same investment authority with respect to the fund as the comptroller has under Sections 404.0241(a) and (c) with respect to the economic stabilization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403.507.</w:t>
      </w:r>
      <w:r>
        <w:rPr>
          <w:u w:val="single"/>
        </w:rPr>
        <w:t xml:space="preserve"> </w:t>
      </w:r>
      <w:r>
        <w:rPr>
          <w:u w:val="single"/>
        </w:rPr>
        <w:t xml:space="preserve"> </w:t>
      </w:r>
      <w:r>
        <w:rPr>
          <w:u w:val="single"/>
        </w:rPr>
        <w:t xml:space="preserve">DEPOSIT AND ALLOCATION OF SETTLEMENT MONEY; EFFECT OF BANKRUPTCY. </w:t>
      </w:r>
      <w:r>
        <w:rPr>
          <w:u w:val="single"/>
        </w:rPr>
        <w:t xml:space="preserve"> </w:t>
      </w:r>
      <w:r>
        <w:rPr>
          <w:u w:val="single"/>
        </w:rPr>
        <w:t xml:space="preserve">(a)</w:t>
      </w:r>
      <w:r>
        <w:rPr>
          <w:u w:val="single"/>
        </w:rPr>
        <w:t xml:space="preserve"> </w:t>
      </w:r>
      <w:r>
        <w:rPr>
          <w:u w:val="single"/>
        </w:rPr>
        <w:t xml:space="preserve"> </w:t>
      </w:r>
      <w:r>
        <w:rPr>
          <w:u w:val="single"/>
        </w:rPr>
        <w:t xml:space="preserve">Money obtained under a statewide opioid settlement agreement must be deposited as provided by this section and further allocated in accordance with the settlement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money obtained under a statewide opioid settlement agreement: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 percent shall be deposited into the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85 percent shall be deposited into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a statewide opioid settlement agreement in relation to a bankruptcy plan for a released entity, money is distributed in accordance with the bankruptcy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403.508.</w:t>
      </w:r>
      <w:r>
        <w:rPr>
          <w:u w:val="single"/>
        </w:rPr>
        <w:t xml:space="preserve"> </w:t>
      </w:r>
      <w:r>
        <w:rPr>
          <w:u w:val="single"/>
        </w:rPr>
        <w:t xml:space="preserve"> </w:t>
      </w:r>
      <w:r>
        <w:rPr>
          <w:u w:val="single"/>
        </w:rPr>
        <w:t xml:space="preserve">COUNCIL ALLOCATION OF MONEY.  (a)  Of the money allocated to the council under Section 403.506(c)(2), the council shall allocate: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percent to the comptroller for the administration of the council and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 percent to hospital districts;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remaining money based on the opioid abatement strategy developed by the council under Section 403.509.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spend money from the fund for purposes of Subsection (a)(1). </w:t>
      </w:r>
      <w:r>
        <w:rPr>
          <w:u w:val="single"/>
        </w:rPr>
        <w:t xml:space="preserve"> </w:t>
      </w:r>
      <w:r>
        <w:rPr>
          <w:u w:val="single"/>
        </w:rPr>
        <w:t xml:space="preserve">If the comptroller determines that the allocation under that subdivision exceeds the amount that is reasonable and necessary for the comptroller to administer the council and this subchapter, the comptroller may reallocate the excess money in accordance with Subsection (a)(3).</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403.509.</w:t>
      </w:r>
      <w:r>
        <w:rPr>
          <w:u w:val="single"/>
        </w:rPr>
        <w:t xml:space="preserve"> </w:t>
      </w:r>
      <w:r>
        <w:rPr>
          <w:u w:val="single"/>
        </w:rPr>
        <w:t xml:space="preserve"> </w:t>
      </w:r>
      <w:r>
        <w:rPr>
          <w:u w:val="single"/>
        </w:rPr>
        <w:t xml:space="preserve">COUNCIL POWERS AND DUTIES AND COUNCIL-APPROVED OPIOID ABATEMENT STRATEGY. </w:t>
      </w:r>
      <w:r>
        <w:rPr>
          <w:u w:val="single"/>
        </w:rPr>
        <w:t xml:space="preserve"> </w:t>
      </w:r>
      <w:r>
        <w:rPr>
          <w:u w:val="single"/>
        </w:rPr>
        <w:t xml:space="preserve">(a)</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and approve one or more evidence-based opioid abatement strategies that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annual regional allocation methodology to distribute 75 percent of money distributed under Section 403.508(a)(3) based on population health information and prevalence of opioid incidences as provided by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annual targeted allocation to distribute 25 percent of money distributed under Section 403.508(a)(3) for targeted interventions as identified by opioid incidence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wholly or partly reallocate the targeted money between regions if a region for which targeted money is allocated is unable to use all of the targeted money;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 application and award process for funding;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grant funding applications and provide grant awards and funding allocations;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monitor grant agreements authorized by this subchapter and require each grant recipient to comply with the terms of the grant agreement or reimburse the grant to the council;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determine the percentage of money that may be used for development of education and outreach programs to provide materials on the consequences of opioid drug use and prevention and intervention, including online resources and toolkits.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reallocate money between regions based on the funding needs of all regions if money allocated to a region lapses or is not used in the year that the money is allocated for use in the region.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approve any decision or strategy, at least four of the members appointed under Section 403.503(b)(1) and four of the members appointed under Sections 403.503(b)(2)-(5) must approve the decision or strategy.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403.510.</w:t>
      </w:r>
      <w:r>
        <w:rPr>
          <w:u w:val="single"/>
        </w:rPr>
        <w:t xml:space="preserve"> </w:t>
      </w:r>
      <w:r>
        <w:rPr>
          <w:u w:val="single"/>
        </w:rPr>
        <w:t xml:space="preserve"> </w:t>
      </w:r>
      <w:r>
        <w:rPr>
          <w:u w:val="single"/>
        </w:rPr>
        <w:t xml:space="preserve">REPORT.  Not later than October 1 of each year, the council shall submit a written report to the legislature detailing all expenditures made by the council during the preceding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403.511.</w:t>
      </w:r>
      <w:r>
        <w:rPr>
          <w:u w:val="single"/>
        </w:rPr>
        <w:t xml:space="preserve"> </w:t>
      </w:r>
      <w:r>
        <w:rPr>
          <w:u w:val="single"/>
        </w:rPr>
        <w:t xml:space="preserve"> </w:t>
      </w:r>
      <w:r>
        <w:rPr>
          <w:u w:val="single"/>
        </w:rPr>
        <w:t xml:space="preserve">RULEMAKING.  The council may adopt rules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individuals responsible for appointing the Texas opioid abatement fund council under Section 403.503, Government Code, as added by this Act, shall make all appointments under that section not later than the 60th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comptroller of public accounts is required to implement a provision of this Act only if the legislature appropriates money specifically for that purpose. </w:t>
      </w:r>
      <w:r>
        <w:t xml:space="preserve"> </w:t>
      </w:r>
      <w:r>
        <w:t xml:space="preserve">If the legislature does not appropriate money specifically for that purpose, the comptroller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1827 passed the Senate on April</w:t>
      </w:r>
      <w:r xml:space="preserve">
        <w:t> </w:t>
      </w:r>
      <w:r>
        <w:t xml:space="preserve">28,</w:t>
      </w:r>
      <w:r xml:space="preserve">
        <w:t> </w:t>
      </w:r>
      <w:r>
        <w:t xml:space="preserve">2021, by the following vote:  Yeas</w:t>
      </w:r>
      <w:r xml:space="preserve">
        <w:t> </w:t>
      </w:r>
      <w:r>
        <w:t xml:space="preserve">31, Nays</w:t>
      </w:r>
      <w:r xml:space="preserve">
        <w:t> </w:t>
      </w:r>
      <w:r>
        <w:t xml:space="preserve">0; and that the Senate concurred in House amendments on May</w:t>
      </w:r>
      <w:r xml:space="preserve">
        <w:t> </w:t>
      </w:r>
      <w:r>
        <w:t xml:space="preserve">29,</w:t>
      </w:r>
      <w:r xml:space="preserve">
        <w:t> </w:t>
      </w:r>
      <w:r>
        <w:t xml:space="preserve">2021,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1827 passed the House, with amendments, on May</w:t>
      </w:r>
      <w:r xml:space="preserve">
        <w:t> </w:t>
      </w:r>
      <w:r>
        <w:t xml:space="preserve">24,</w:t>
      </w:r>
      <w:r xml:space="preserve">
        <w:t> </w:t>
      </w:r>
      <w:r>
        <w:t xml:space="preserve">2021, by the following vote:  Yeas</w:t>
      </w:r>
      <w:r xml:space="preserve">
        <w:t> </w:t>
      </w:r>
      <w:r>
        <w:t xml:space="preserve">143,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