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Nelson</w:t>
      </w:r>
      <w:r xml:space="preserve">
        <w:tab wTab="150" tlc="none" cTlc="0"/>
      </w:r>
      <w:r>
        <w:t xml:space="preserve">S.B.</w:t>
      </w:r>
      <w:r xml:space="preserve">
        <w:t> </w:t>
      </w:r>
      <w:r>
        <w:t xml:space="preserve">No.</w:t>
      </w:r>
      <w:r xml:space="preserve">
        <w:t> </w:t>
      </w:r>
      <w:r>
        <w:t xml:space="preserve">1827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opioid abatement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403, Government Code, is amended by adding Section 403.1044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403.1044.</w:t>
      </w:r>
      <w:r>
        <w:rPr>
          <w:u w:val="single"/>
        </w:rPr>
        <w:t xml:space="preserve"> </w:t>
      </w:r>
      <w:r>
        <w:rPr>
          <w:u w:val="single"/>
        </w:rPr>
        <w:t xml:space="preserve"> </w:t>
      </w:r>
      <w:r>
        <w:rPr>
          <w:u w:val="single"/>
        </w:rPr>
        <w:t xml:space="preserve">OPIOID ABATEMENT ACCOUNT. </w:t>
      </w:r>
      <w:r>
        <w:rPr>
          <w:u w:val="single"/>
        </w:rPr>
        <w:t xml:space="preserve"> </w:t>
      </w:r>
      <w:r>
        <w:rPr>
          <w:u w:val="single"/>
        </w:rPr>
        <w:t xml:space="preserve">(a)</w:t>
      </w:r>
      <w:r>
        <w:rPr>
          <w:u w:val="single"/>
        </w:rPr>
        <w:t xml:space="preserve"> </w:t>
      </w:r>
      <w:r>
        <w:rPr>
          <w:u w:val="single"/>
        </w:rPr>
        <w:t xml:space="preserve"> </w:t>
      </w:r>
      <w:r>
        <w:rPr>
          <w:u w:val="single"/>
        </w:rPr>
        <w:t xml:space="preserve">The opioid abatement account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received by the state from any source resulting directly or indirectly from an action by the state against an opioid manufacturer, an opioid distributor, or another person in the opioid industry relating to a violation of state or federal law on the manufacture, marketing, distribution, or sale of opioids;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or transferred to the account by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and grants contributed to the account;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earnings on the principal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a state agency for the abatement of opiod-related harms.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may use money appropriated to the agency from the account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opioid use disorder through evidence-based education and prevention, such as school-based prevention, early intervention, or health care services or programs intended to reduce the risk of opioid use by school-age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efforts to prevent or reduce deaths from opioid overdoses or other opioid-related harms, including through increasing the availability or distribution of naloxone or other opioid antagonists for use by health care providers, first responders, persons experiencing an opioid overdose, families, schools, community-based service providers, social workers, or other members of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create and provide training on the treatment of opioid addiction, including the treatment of opioid dependence with each medication approved for that purpose by the United States Food and Drug Administration, medical detoxification, relapse prevention, patient assessment, individual treatment planning, counseling, recovery supports, diversion control, and other best practices;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opioid use disorder treatment for youths and adults, with an emphasis on programs that provide a continuum of care that includes screening and assessment for opiod use disorder and co-occurring behavioral health disorders, early intervention, contingency management, cognitive behavioral therapy, case management, relapse management, counseling services, and medication-assisted treatments;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access to patients suffering from opioid dependence to all medications approved by the United States Food and Drug Administration for the treatment of opioid dependence and relapse prevention following opioid detoxification, including opioid agonists, partial agonists, and antagonists;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support treatment alternatives that provide both psychosocial support and medication-assisted treatments in areas with geographical or transportation-related challenges, including providing access to mobile health services, and telemedicine, particularly in rural areas.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