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1829</w:t>
      </w:r>
    </w:p>
    <w:p w:rsidR="003F3435" w:rsidRDefault="0032493E">
      <w:pPr>
        <w:ind w:firstLine="720"/>
        <w:jc w:val="both"/>
      </w:pPr>
      <w:r>
        <w:t xml:space="preserve">(Klick)</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maintaining and distributing certain Medicaid managed care directories.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533.00751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533.00751.</w:t>
      </w:r>
      <w:r>
        <w:rPr>
          <w:u w:val="single"/>
        </w:rPr>
        <w:t xml:space="preserve"> </w:t>
      </w:r>
      <w:r>
        <w:rPr>
          <w:u w:val="single"/>
        </w:rPr>
        <w:t xml:space="preserve"> </w:t>
      </w:r>
      <w:r>
        <w:rPr>
          <w:u w:val="single"/>
        </w:rPr>
        <w:t xml:space="preserve">RECIPIENT DIRECTORY.  The commission shall in accordance with a single source of truth design: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 accurate electronic directory of contact information for each recipient enrolled in a managed care plan offered by a Medicaid managed care organization under this chapter, including, to the extent feasible, each recipient's: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home, work, and mobile telephone numbers;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e-mail address;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home and work addresses;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each Medicaid managed care organization and enrollment broker participating in the Medicaid managed care program update the electronic directory required under Subdivision (1) in real time.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533.0063(b),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Except as provided by Subsection (c), a</w:t>
      </w:r>
      <w:r>
        <w:t xml:space="preserve">] managed care organization is required to send a paper form of the organization's provider network directory for the program only to a recipient who requests to receive the directory in paper form.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533.0063(c),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Health and Human Services Commission shall, in a contract between the commission and a managed care organization under Chapter 533, Government Code, that is entered into or renewed on or after the effective date of this Act, require that the managed care organization comply with Section 533.00751, Government Code, as added by this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seek to amend contracts entered into with managed care organizations under Chapter 533, Government Code, before the effective date of this Act to require those managed care organizations to comply with Section 533.00751, Government Code, as added by this Act.  To the extent of a conflict between that section and a provision of a contract with a managed care organization entered into before the effective date of this Act, the contract provision prevails.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