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87R7621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Medicaid recipient directories maintained by Medicaid managed care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533.00751.</w:t>
      </w:r>
      <w:r>
        <w:rPr>
          <w:u w:val="single"/>
        </w:rPr>
        <w:t xml:space="preserve"> </w:t>
      </w:r>
      <w:r>
        <w:rPr>
          <w:u w:val="single"/>
        </w:rPr>
        <w:t xml:space="preserve"> </w:t>
      </w:r>
      <w:r>
        <w:rPr>
          <w:u w:val="single"/>
        </w:rPr>
        <w:t xml:space="preserve">RECIPIENT DIRECTORY.  (a) The commission shall ensure that a Medicaid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maintains an accurate electronic directory of contact information for each recipient enrolled in the organization's managed care plan, including each recipient's: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and mobile telephone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e-mail address;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home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the electronic directory required under Subdivision (1) at least monthly.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monthly, a Medicaid managed care organization shall send an electronic copy of the recipient directory described by this section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533.00751,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533.00751,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