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et al.</w:t>
      </w:r>
      <w:r xml:space="preserve">
        <w:tab wTab="150" tlc="none" cTlc="0"/>
      </w:r>
      <w:r>
        <w:t xml:space="preserve">S.B.</w:t>
      </w:r>
      <w:r xml:space="preserve">
        <w:t> </w:t>
      </w:r>
      <w:r>
        <w:t xml:space="preserve">No.</w:t>
      </w:r>
      <w:r xml:space="preserve">
        <w:t> </w:t>
      </w:r>
      <w:r>
        <w:t xml:space="preserve">1831</w:t>
      </w:r>
    </w:p>
    <w:p w:rsidR="003F3435" w:rsidRDefault="0032493E">
      <w:pPr>
        <w:ind w:firstLine="720"/>
        <w:jc w:val="both"/>
      </w:pPr>
      <w:r>
        <w:t xml:space="preserve">(Thompson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trafficking of persons, online solicitation of a minor, and prostitution and warning signs regarding certain penalties for trafficking of persons;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No Trafficking Zone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37, Education Code, is amended by adding Section 37.086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37.086.</w:t>
      </w:r>
      <w:r>
        <w:rPr>
          <w:u w:val="single"/>
        </w:rPr>
        <w:t xml:space="preserve"> </w:t>
      </w:r>
      <w:r>
        <w:rPr>
          <w:u w:val="single"/>
        </w:rPr>
        <w:t xml:space="preserve"> </w:t>
      </w:r>
      <w:r>
        <w:rPr>
          <w:u w:val="single"/>
        </w:rPr>
        <w:t xml:space="preserve">REQUIRED POSTING OF WARNING SIGNS OF INCREASED TRAFFICKING PENALTIES.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"Premises" has the meaning assigned by Section 481.134,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means a public or private primary or secondary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shall post warning signs of the increased penalties for trafficking of persons under Section 20A.02(b-1)(2), Penal Code, at the following locations: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parallel to and along the exterior boundaries of the school's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each roadway or other way of access to the premises;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premises not fenced, at least every five hundred feet along the exterior boundaries of the premises;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each entrance to the premises;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conspicuous places reasonably likely to be viewed by all persons entering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in consultation with the human trafficking prevention task force created under Section 402.035, Government Code, shall adopt rules regarding the placement, installation, design, size, wording, and maintenance procedures for the warning signs required under this section.  The rules must require that each warning sign: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description of the provisions of Section 20A.02(b-1), Penal Code, including the penalties for violating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written in English and Spanish;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at least 8-1/2 by 11 inches in size.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provide each school without charge the number of warning signs required to comply with this section and rules adopted under this section.  If the agency is unable to provide each school with the number of signs necessary to comply with Subsection (b), the agency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a school fewer signs than the number necessary to comply with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prioritize distribution of signs to schools based on reports of criminal activity in the areas near that school.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20A.01, Penal Code, is amended by adding Subdivisions (2-a) and (2-b)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"Premises" has the meaning assigned by Section 481.134, Health and Safety Code.</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"School" means a public or private primary or secondary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20A.02, Penal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w:t>
      </w:r>
      <w:r>
        <w:rPr>
          <w:u w:val="single"/>
        </w:rPr>
        <w:t xml:space="preserve">and Subsection (b-1)</w:t>
      </w:r>
      <w:r>
        <w:t xml:space="preserve">, an offense under this section is a felony of the second degree. 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the death of the person who is trafficked; or</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under this section is a felony of the first degree punishable by imprisonment in the Texas Department of Criminal Justice for life or for a term of not more than 99 years or less than 25 years if it is shown on the trial of the offense that the actor committed the offense in a location that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premises of or within 1,000 feet of the premises of a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premises or within 1,000 feet of premises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official school function was taking place;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event sponsored or sanctioned by the University Interscholastic League was taking place.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33.021, Penal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punishment for an offense under this section is increased to the punishment prescribed for the next higher category of offense if it is shown on the trial of the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 committed the offense during regular public or private primary or secondary school hours;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knew or reasonably should have known that the minor was enrolled in a public or private primary or secondary school at the time of the offense.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43.01, Penal Code, is amended by adding Subdivisions (1-f) and (2-a) to read as follows.</w:t>
      </w:r>
    </w:p>
    <w:p w:rsidR="003F3435" w:rsidRDefault="0032493E">
      <w:pPr>
        <w:spacing w:line="480" w:lineRule="auto"/>
        <w:ind w:firstLine="1440"/>
        <w:jc w:val="both"/>
      </w:pPr>
      <w:r>
        <w:rPr>
          <w:u w:val="single"/>
        </w:rPr>
        <w:t xml:space="preserve">(1-f)</w:t>
      </w:r>
      <w:r>
        <w:rPr>
          <w:u w:val="single"/>
        </w:rPr>
        <w:t xml:space="preserve"> </w:t>
      </w:r>
      <w:r>
        <w:rPr>
          <w:u w:val="single"/>
        </w:rPr>
        <w:t xml:space="preserve"> </w:t>
      </w:r>
      <w:r>
        <w:rPr>
          <w:u w:val="single"/>
        </w:rPr>
        <w:t xml:space="preserve">"Premises" has the meaning assigned by Section 481.134, Health and Safety Code.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"School" means a public or private primary or secondary school.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43.02, Penal Code, is amended by adding Subsection (c-2)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punishment prescribed for an offense under Subsection (b) is increased to the punishment prescribed for the next highest category of offense if it is shown on the trial of the offense that the actor committed the offense in a location that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premises of or within 1,000 feet of the premises of a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premises or within 1,000 feet of premises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official school function was taking place;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event sponsored or sanctioned by the University Interscholastic League was taking place.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Texas Education Agency is required to implement the change in law made by Section 37.086(d), Education Code, as added by this Act, only if the legislature appropriates money specifically for that purpose.  If the legislature does not appropriate money specifically for that purpose, the agency may, but is not required to, implement the change in law made by Section 37.086(d), Education Code, as added by this Act, using other appropriations available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