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Whitmire</w:t>
      </w:r>
      <w:r xml:space="preserve">
        <w:tab wTab="150" tlc="none" cTlc="0"/>
      </w:r>
      <w:r>
        <w:t xml:space="preserve">S.B.</w:t>
      </w:r>
      <w:r xml:space="preserve">
        <w:t> </w:t>
      </w:r>
      <w:r>
        <w:t xml:space="preserve">No.</w:t>
      </w:r>
      <w:r xml:space="preserve">
        <w:t> </w:t>
      </w:r>
      <w:r>
        <w:t xml:space="preserve">1832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indecency with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21.11(b), Penal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three years older than the victim [</w:t>
      </w:r>
      <w:r>
        <w:rPr>
          <w:strike/>
        </w:rPr>
        <w:t xml:space="preserve">and of the opposite sex</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w:t>
      </w:r>
      <w:r>
        <w:rPr>
          <w:u w:val="single"/>
        </w:rPr>
        <w:t xml:space="preserve">, Code of Criminal Procedure,</w:t>
      </w:r>
      <w:r>
        <w:t xml:space="preserve"> had a reportable conviction or adjudication for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offense committed on or after the effective date of this Act and to any criminal action pending on the effective date of this Act for an offense committed before that effective date.  A final conviction for an offense under Section 21.11, Penal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