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87R7782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1833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post-release housing for inmates released on parole or to mandatory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508.157, Government Code, is amended by amending Subsection (b) and adding Subsections (f) and (g)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If the department does not operate or contract for the operation of a residential correctional facility in the county of legal residence of an inmate or releasee, the</w:t>
      </w:r>
      <w:r>
        <w:t xml:space="preserve">] department may issue, for an inmate described by Subsection (a) or for a releasee, payment for the cost of temporary post-release housing that:</w:t>
      </w:r>
    </w:p>
    <w:p w:rsidR="003F3435" w:rsidRDefault="0032493E">
      <w:pPr>
        <w:spacing w:line="480" w:lineRule="auto"/>
        <w:ind w:firstLine="1440"/>
        <w:jc w:val="both"/>
      </w:pPr>
      <w:r>
        <w:t xml:space="preserve">(1)</w:t>
      </w:r>
      <w:r xml:space="preserve">
        <w:t> </w:t>
      </w:r>
      <w:r xml:space="preserve">
        <w:t> </w:t>
      </w:r>
      <w:r>
        <w:t xml:space="preserve">meets any conditions or requirements imposed by a parole panel;</w:t>
      </w:r>
    </w:p>
    <w:p w:rsidR="003F3435" w:rsidRDefault="0032493E">
      <w:pPr>
        <w:spacing w:line="480" w:lineRule="auto"/>
        <w:ind w:firstLine="1440"/>
        <w:jc w:val="both"/>
      </w:pPr>
      <w:r>
        <w:t xml:space="preserve">(2)</w:t>
      </w:r>
      <w:r xml:space="preserve">
        <w:t> </w:t>
      </w:r>
      <w:r xml:space="preserve">
        <w:t> </w:t>
      </w:r>
      <w:r>
        <w:rPr>
          <w:u w:val="single"/>
        </w:rPr>
        <w:t xml:space="preserve">meets or exceeds the standards developed by the Reentry Housing Task Force; and</w:t>
      </w:r>
    </w:p>
    <w:p w:rsidR="003F3435" w:rsidRDefault="0032493E">
      <w:pPr>
        <w:spacing w:line="480" w:lineRule="auto"/>
        <w:ind w:firstLine="1440"/>
        <w:jc w:val="both"/>
      </w:pPr>
      <w:r>
        <w:rPr>
          <w:u w:val="single"/>
        </w:rPr>
        <w:t xml:space="preserve">(3)</w:t>
      </w:r>
      <w:r xml:space="preserve">
        <w:t> </w:t>
      </w:r>
      <w:r xml:space="preserve">
        <w:t> </w:t>
      </w:r>
      <w:r>
        <w:t xml:space="preserve">is located in the county of legal residence of the inmate or releasee[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except as provided by Subsection (e-1), is in a structure that existed on June 1, 2009, as a multifamily residence or as a motel to which Section 156.001, Tax Code, applies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actively seek grants from any source for the purpose of expanding the use of temporary post-release housing payments under Subsection (b) as an alternative to housing an inmate described by Subsection (a) or a releasee in a residential correctional facility.  Notwithstanding Subsection (d), the department may issue payments under Subsection (b) out of grant funds received for that purpose.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prioritize the use of temporary post-release housing payments under Subsection (b) to reduce the average number of days an inmate described by Subsection (a) or a releasee is housed in a residential correctional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number of inmates or releasees housed in a residential correctional facility if the department determines that the issuance of payments under Subsection (b) increases the availability of temporary post-release housing that meets or exceeds the standards described by Subsection (b)(2).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508, Government Code, is amended by adding Sections 508.158 and 508.159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508.158.</w:t>
      </w:r>
      <w:r>
        <w:rPr>
          <w:u w:val="single"/>
        </w:rPr>
        <w:t xml:space="preserve"> </w:t>
      </w:r>
      <w:r>
        <w:rPr>
          <w:u w:val="single"/>
        </w:rPr>
        <w:t xml:space="preserve"> </w:t>
      </w:r>
      <w:r>
        <w:rPr>
          <w:u w:val="single"/>
        </w:rPr>
        <w:t xml:space="preserve">POST-RELEASE HOUSING PLANNING PROCEDURE AND REPORT.  (a)  In this section, "residential correctional facility" has the meaning assigned by Section 508.157.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implement a post-release housing planning procedure for releasees that includes the early identification and assessment of inmates who do not have an established plan for housing following release on parole or to mandatory supervision.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the post-release housing planning procedure, the department shall create a needs assessment to identify: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inmates who would benefit from the use of temporary post-release housing payments under Section 508.157(b);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inmates who require more intensive planning for post-release housing;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particular housing needs of inmates due to a disability or an inmate's familial circumstances.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February 1 of each year, the department shall submit to the governor, the lieutenant governor, the speaker of the house of representatives, and each standing committee of the legislature with primary jurisdiction over the department a report that includes the following information for the preceding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inmates described by Subsection (b) and the department's efforts to find post-release housing for those inmates;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department's efforts to reduce the length of time between an inmate's parole approval and the release of the inmate on parole for an inmate described by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department's efforts to expand post-release housing options in local communities, including post-release housing that meets or exceeds the standards developed by the Reentry Housing Task Force;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number of days a releasee is housed in a residential correctional facility;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releasees who absconded from a residential correctional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508.159.</w:t>
      </w:r>
      <w:r>
        <w:rPr>
          <w:u w:val="single"/>
        </w:rPr>
        <w:t xml:space="preserve"> </w:t>
      </w:r>
      <w:r>
        <w:rPr>
          <w:u w:val="single"/>
        </w:rPr>
        <w:t xml:space="preserve"> </w:t>
      </w:r>
      <w:r>
        <w:rPr>
          <w:u w:val="single"/>
        </w:rPr>
        <w:t xml:space="preserve">REENTRY HOUSING TASK FORCE; BIENNIAL REPORTS. </w:t>
      </w:r>
      <w:r>
        <w:rPr>
          <w:u w:val="single"/>
        </w:rPr>
        <w:t xml:space="preserve"> </w:t>
      </w:r>
      <w:r>
        <w:rPr>
          <w:u w:val="single"/>
        </w:rPr>
        <w:t xml:space="preserve">(a) </w:t>
      </w:r>
      <w:r>
        <w:rPr>
          <w:u w:val="single"/>
        </w:rPr>
        <w:t xml:space="preserve"> </w:t>
      </w:r>
      <w:r>
        <w:rPr>
          <w:u w:val="single"/>
        </w:rPr>
        <w:t xml:space="preserve">In this section, "task force"</w:t>
      </w:r>
      <w:r>
        <w:rPr>
          <w:u w:val="single"/>
        </w:rPr>
        <w:t xml:space="preserve"> </w:t>
      </w:r>
      <w:r>
        <w:rPr>
          <w:u w:val="single"/>
        </w:rPr>
        <w:t xml:space="preserve">means the Reentry Housing Task Force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Reentry Housing Task Force is established and is composed of members appointed by the executive director. </w:t>
      </w:r>
      <w:r>
        <w:rPr>
          <w:u w:val="single"/>
        </w:rPr>
        <w:t xml:space="preserve"> </w:t>
      </w:r>
      <w:r>
        <w:rPr>
          <w:u w:val="single"/>
        </w:rPr>
        <w:t xml:space="preserve">The task force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representative from each of the following entities: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Department of Housing and Community Affairs;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Veterans Commission;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nonprofit organization that is engaged in creating recovery housing options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nonprofit organization that advocates for persons who are required to register as a sex offender under Chapter 62, Code of Criminal Procedure;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nonprofit organization for family members of persons who are incarcerated;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nonprofit organization that operates a Continuum of Care program funded wholly or partly by the United States Department of Housing and Urban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or more individuals who are health care professionals, one of whom must be a certified emergency medical technician;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individual who specializes in the reentry of female releasees.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shall designate a member of the task force as the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task force shall meet every other month or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task force is not entitled to compensation for service on the task force but is entitled to reimbursement for travel expenses incurred by the member while conducting the business of the task force as provided by the General Appropriations 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on an ongoing basis, strategies for improving post-release housing for releasees,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methods to provide housing options for releasees that are in addition to housing provided by residential correctional facilities, as that term is defined by Section 508.157;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feasibility of expanding the use of housing vouchers or other payments for the post-release housing of releasees;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and update as necessary standards for post-release housing for releasees that promote: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successful reintegration of releasees into the community;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community health and safety;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and update as necessary a post-release housing planning procedure for releasees that the department may implement that includes the early identification and assessment of inmates who do not have an established plan for housing following release on parole or to mandatory supervision;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and update as necessary recommendations to address the risk of homelessness for releasees who are unable to find suitable post-release housing.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and the department shall evaluate, on an ongoing basis, the implementation of post-release housing initiatives and planning procedures under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June 1 of each even-numbered year, the task force shall prepare and submit to the department a written report on the task force's findings under this section, including standards, procedures, and recommendations developed under Subsection (f) and any updates to those standards, procedures, and recommendations.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June 30 of each even-numbered year, the department shall compile the results of the evaluations conducted under Subsection (g) and the findings submitted under Subsection (h) and shall prepare and submit to the legislature a written report on the evaluation results and findings.  The report must include any proposed legislative recommendations.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Chapter 2110 does not apply to the size, composition, or duration of the task force or to the designation of the task force's presiding officer.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508.157(e-1),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the requirements of Section 508.157(b)(2), Government Code, as amended by this Act, until January 1, 2023, the Texas Department of Criminal Justice may continue to make payments for the cost of temporary post-release housing under the requirements of Section 508.157(b), Government Code, that existed immediately before the effective date of this Act, and those requirements are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December 1, 2021, the Texas Department of Criminal Justice shall implement the post-release housing planning procedure and assessment required by Section 508.158,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November 1, 2021, the executive director of the Texas Department of Criminal Justice shall appoint the members to the Reentry Housing Task Force as required by Section 508.159,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