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2021S0172-1  03/09/21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1837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is part of a regional mobility authority created under Chapter 370 with at least two counties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 or (2)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