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policies for peace officer response to certain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FOR PEACE OFFICER RESPONSE TO CERTAIN FAMILY VIOLENCE OFFENSES.  (a) </w:t>
      </w:r>
      <w:r>
        <w:rPr>
          <w:u w:val="single"/>
        </w:rPr>
        <w:t xml:space="preserve"> </w:t>
      </w:r>
      <w:r>
        <w:rPr>
          <w:u w:val="single"/>
        </w:rPr>
        <w:t xml:space="preserve">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the model policy developed by the Texas Commission on Law Enforcement under Section 1701.165, Occupations Code, regarding peace officer response to reports of certain offenses involving family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MODEL POLICY FOR PEACE OFFICER RESPONSE TO CERTAIN FAMILY VIOLENCE OFFENSES.  (a) </w:t>
      </w:r>
      <w:r>
        <w:rPr>
          <w:u w:val="single"/>
        </w:rPr>
        <w:t xml:space="preserve"> </w:t>
      </w:r>
      <w:r>
        <w:rPr>
          <w:u w:val="single"/>
        </w:rPr>
        <w:t xml:space="preserve">In this section,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make available to all law enforcement agencies in this state a model policy establishing procedures applicable to a peace officer who responds to a report of an offense involving family violence that was committed in the physical presence or within the hearing of a child younger than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model policy must require the responding peace officer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the child's exposure to the family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speak to the child at eye level and explain in an age-appropriate manner the applicable procedures for investigating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validate the child's emotional response to the situation;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in comforting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to the child's parent or other appropriate caregiver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services available to support the child;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negative impacts of family violence on a child;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and document any other children in the family or household.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December 1, 2021, the Texas Commission on Law Enforcement shall develop and make available the model policy required under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2022, each law enforcement agency in this state shall adopt the policy required by Article 2.33, Code of Criminal Procedure,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