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87R14041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351.101, Tax Code, is amended by adding Subsection (u)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(u)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other authorized uses, a municipality that has a population of less than 20,000, is bisected by Interstate 20, and is located in a county with a population of more than 1.8 million that is adjacent to a county with a population of more than 2.2 million may use revenue from the municipal hotel occupancy tax for the construction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improvements to municipal parks;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trails and sidewalks that connect municipal parks to lodging establishments, tourist attractions, and related public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