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1855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survey developed and administered by the Texas Education Agency prior to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39, Education Code, is amended by adding Section 39.040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39.040.</w:t>
      </w:r>
      <w:r>
        <w:rPr>
          <w:u w:val="single"/>
        </w:rPr>
        <w:t xml:space="preserve"> </w:t>
      </w:r>
      <w:r>
        <w:rPr>
          <w:u w:val="single"/>
        </w:rPr>
        <w:t xml:space="preserve"> </w:t>
      </w:r>
      <w:r>
        <w:rPr>
          <w:u w:val="single"/>
        </w:rPr>
        <w:t xml:space="preserve">COVID-19 ASSESSMENT INSTRUMENT SURVEY.  (a)  The agency, in consultation with Texas A&amp;M University-Commerce, parent teacher associations, interested school districts, and other interested parties shall develop and administer a survey to each student immediately prior to the administration to the student of an assessment instrument required under Section 39.023.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survey administered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the student's experience during the coronavirus disease (COVID-19) pandemic, including problems or issues with Internet connectivity or access experienced by the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 information on the socioeconomic status of the student;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information on whether the student participated in digital and online learning or in-person learning;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additional questions the Commissioner may deem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use the results of surveys administered under this section to adopt and amend agency policies, procedures, and rules relating to the administration of assessment instruments under Section 39.023.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 later than November 1. 2022, the agency shall submit to the governor, the lieutenant governor, the speaker of the house of representatives, and the agency a report of the results of the survey administered under Sect. 39.040 and any recommendations for legislative or other actions.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and before the administration during the 2021-2022 school year of an assessment instrument required by Section 39.023, Education Code, the Texas Education Agency shall develop the survey required under Section 39.040,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