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87R9317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1857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temporary licenses for certain out-of-state health care practitioners for a charitable purpose.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Occupations Code, is amended by adding Chapter 117 to read as follows:</w:t>
      </w:r>
    </w:p>
    <w:p w:rsidR="003F3435" w:rsidRDefault="0032493E">
      <w:pPr>
        <w:spacing w:line="480" w:lineRule="auto"/>
        <w:jc w:val="center"/>
      </w:pPr>
      <w:r>
        <w:rPr>
          <w:u w:val="single"/>
        </w:rPr>
        <w:t xml:space="preserve">CHAPTER 117. TEMPORARY LICENSE FOR CERTAIN</w:t>
      </w:r>
      <w:r>
        <w:t xml:space="preserve"> </w:t>
      </w:r>
    </w:p>
    <w:p w:rsidR="003F3435" w:rsidRDefault="0032493E">
      <w:pPr>
        <w:spacing w:line="480" w:lineRule="auto"/>
        <w:jc w:val="center"/>
      </w:pPr>
      <w:r>
        <w:rPr>
          <w:u w:val="single"/>
        </w:rPr>
        <w:t xml:space="preserve">OUT-OF-STATE HEALTH CARE PRACTITIONERS FOR CHARITABLE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practitioner" has the meaning assigned by Section 112.001.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"Licensing entity" has the meaning assigned by Section 112.001.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"Volunteer charity health care services" means health care services provided by a health care practitioner without compensation.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117.002.</w:t>
      </w:r>
      <w:r>
        <w:rPr>
          <w:u w:val="single"/>
        </w:rPr>
        <w:t xml:space="preserve"> </w:t>
      </w:r>
      <w:r>
        <w:rPr>
          <w:u w:val="single"/>
        </w:rPr>
        <w:t xml:space="preserve"> </w:t>
      </w:r>
      <w:r>
        <w:rPr>
          <w:u w:val="single"/>
        </w:rPr>
        <w:t xml:space="preserve">APPLICABILITY.  This chapter applies only to a licensing entity or health care practitioner regulated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204;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B, Chapter 256;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Subtitle 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Chapter 351.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117.003.</w:t>
      </w:r>
      <w:r>
        <w:rPr>
          <w:u w:val="single"/>
        </w:rPr>
        <w:t xml:space="preserve"> </w:t>
      </w:r>
      <w:r>
        <w:rPr>
          <w:u w:val="single"/>
        </w:rPr>
        <w:t xml:space="preserve"> </w:t>
      </w:r>
      <w:r>
        <w:rPr>
          <w:u w:val="single"/>
        </w:rPr>
        <w:t xml:space="preserve">REQUIREMENTS FOR TEMPORARY LICENSE FOR CHARITABLE PURPOSE.  (a) Each licensing entity under this chapter shall adopt rules providing for the issuance of temporary licenses that authorize the license holders to provide voluntary charity health care services. The term of the license may not exceed seven days.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applicant for a temporary license under this chapter has an unacceptable licensing or criminal history, the licensing entity may not issue a temporary license to the applicant and the applicant may not provide voluntary charity health care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licensing entity by rule shall provide for adequate supervision of each health care practitioner issued a temporary license under this chapter by a health care practitioner licensed under the laws of this state in the applicable profession.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practitioner issued a temporary license under this chapter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health care practitioner's practice to only voluntary charity health care services within the scope of practice of the applicable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practice only in a geographic area specified by the license;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practice only for the period specified by the license.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Medical Board, the State Board of Dental Examiners, the Texas Board of Nursing, and the Texas Optometry Board shall actively seek and apply for any available federal financial assistance to support development and implementation of temporary short-term licensing programs under this chapter, including grants made available to states under the Coronavirus Aid, Relief, and Economic Security Act (15 U.S.C. Section 9001 et seq.) and the Consolidated Appropriations Act, 2021 (Pub. L. No.</w:t>
      </w:r>
      <w:r xml:space="preserve">
        <w:t> </w:t>
      </w:r>
      <w:r>
        <w:t xml:space="preserve">116-260), and any other federal legislation to support the provision of health care services in underserved areas during a state of disaster declared under Chapter 418, Government Code, related to the 2019 novel coronavirus disease.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