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19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groups or associations that include self-employed individuals to participate in a multiple employer welfare arran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6.201, Insurance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otherwise limited by the Employee Retirement Income Security Act of 1974 (29 U.S.C. Section 1001 et seq.), a multiple employer welfare arrangement may only provide benefit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ive or retired owners, officers, directors, or employees of or partners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articipating employer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na fide groups or associations of employers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beneficiaries of a person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or association is considered a bona fide group or association of employers for the purpose of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up or association has at least one substantial business purpose unrelated to offering and providing health coverage or other employee benefits to its employer-members and their employees, including the purpose of promoting the common business interests of its members or promoting the economic interests of its members in a trade or employer opportunity, regardless of whether the business purpose is a for-profit activ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up or association would be a viable entity in the absence of sponsoring an employee benefit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employer-member of the group or association participating in the group health plan is a person acting directly as an employer of at least one employee who is covered under the plan, which may include a sole proprietor or principal of a business entity and regardless of whether any other person is employed by the sole proprietor or principal of a business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up or association has a formal organizational structure with a governing body and by-laws or other similar indications of form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ctions and activities of the group or association are controlled by its employer-members, and the group's or association's employer-members that participate in the group health plan control the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r-members have a commonality of interest because the member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in the same trade, industry, line or business, or profess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a principal place of business in the same region that does not extend beyond the boundari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tropolitan area regardless of whether the metropolitan area includes more than on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