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87R11356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1862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task force by the commissioner of education on students residing in temporary living arrangements.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29.928.</w:t>
      </w:r>
      <w:r>
        <w:rPr>
          <w:u w:val="single"/>
        </w:rPr>
        <w:t xml:space="preserve"> </w:t>
      </w:r>
      <w:r>
        <w:rPr>
          <w:u w:val="single"/>
        </w:rPr>
        <w:t xml:space="preserve"> </w:t>
      </w:r>
      <w:r>
        <w:rPr>
          <w:u w:val="single"/>
        </w:rPr>
        <w:t xml:space="preserve">TASK FORCE ON STUDENTS RESIDING IN TEMPORARY LIVING ARRANGEMENTS.  (a)  The commissioner shall establish a task force to identify the number of students residing in extended stay motels or other temporary living arrangements and study the educational outcomes of those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composed of an odd number of not fewer than 13 members appointed by the commissioner and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of a school district or open-enrollment charter school designated as a homeless education liaison;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emergency medical technician;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of a local mental health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an extended stay motel or similar temporary living shelter;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two public school administrators;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employee of an institution of higher education, as that term is defined by Section 61.003;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representative from a community service entity that provides services to homeless people;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mental health services provider;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school counselor;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representative of the Texas Department of Housing and Community Affairs;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representative of the Health and Human Services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appointing members to the task force, the commissioner shall appoint, to the greatest extent practicable, persons who reside in areas that have a significant percentage of homeless students, as determined by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local, state, and other laws or regulations that negatively impact rates of student homelessness;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study unseen and unintended consequences of students residing in extended stay motels or in other temporary living arrangements, including dropout rates and rates of prostitution, drug use, and other negative consequences;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 policies and resources that would assist families and students residing in extended stay motels or in other temporary living arrangements;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 methods to increase student attendance and educational outcomes for students residing in extended stay motels or in other temporary living arrangements;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study the impact of the coronavirus disease (COVID-19) pandemic on the student homelessness population.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2022, the task force shall submit to the legislature a report on the task force's findings and recommendations.  The agency shall post the report on the agency's Internet website.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task force is abolished and this section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commissioner of education shall appoint the members of the task force established under Section 29.928,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commissioner of education is required to implement this Act only if the legislature appropriates money specifically for that purpose.  If the legislature does not appropriate money specifically for that purpose, the commissioner may, but is not required to, implement this Act using other money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