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annual permit for certain equipment used to apply paint to roadways;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623.071, Transportation Code, is amended by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issue an annual permit to allow the operation on a state highway, other than a highway that is part of the national system of interstate and defense highways, of equipment that exceeds weight limits provided by law if the equipment: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exceed the maximum weight limit provided in Subsection (c)(3)(B);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used solely for the purpose of applying paint to a roadway as part of the construction or maintenance of public roads.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623.076(c),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application for a permit under Section 623.071(c)(3)</w:t>
      </w:r>
      <w:r>
        <w:rPr>
          <w:u w:val="single"/>
        </w:rPr>
        <w:t xml:space="preserve">, (c-2),</w:t>
      </w:r>
      <w:r>
        <w:t xml:space="preserve"> or (d) must be accompanied by the permit fee established by the board, in consultation with the commission, for the permit, not to exceed $7,000.</w:t>
      </w:r>
      <w:r xml:space="preserve">
        <w:t> </w:t>
      </w:r>
      <w:r xml:space="preserve">
        <w:t> </w:t>
      </w:r>
      <w:r>
        <w:t xml:space="preserve">Of each fee collected under this subsection, the department shall send: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first $1,000 to the comptroller for deposit to the credit of the general revenue fund;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amount in excess of $1,000 to the comptroller, who shall deposit: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90 percent of the excess to the credit of the state highway fund;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10 percent of the excess to the credit of the Texas Department of Motor Vehicles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623.077(a),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applicant for a permit under this subchapter, other than a permit under Section 623.071(c)(3) </w:t>
      </w:r>
      <w:r>
        <w:rPr>
          <w:u w:val="single"/>
        </w:rPr>
        <w:t xml:space="preserve">or (c-2)</w:t>
      </w:r>
      <w:r>
        <w:t xml:space="preserve">, must also pay a highway maintenance fee in an amount determined according to the following table:</w:t>
      </w:r>
    </w:p>
    <w:tbl>
      <w:tr>
        <w:tc>
          <w:p>
            <w:r>
              <w:t xml:space="preserve">Vehicle Weight in Pounds</w:t>
            </w:r>
          </w:p>
        </w:tc>
        <w:tc>
          <w:p>
            <w:r xml:space="preserve">
              <w:t> </w:t>
            </w:r>
            <w:r xml:space="preserve">
              <w:t> </w:t>
            </w:r>
            <w:r>
              <w:t xml:space="preserve">Fee</w:t>
            </w:r>
          </w:p>
        </w:tc>
      </w:tr>
      <w:tr>
        <w:tc>
          <w:p>
            <w:r xml:space="preserve">
              <w:t> </w:t>
            </w:r>
            <w:r xml:space="preserve">
              <w:t> </w:t>
            </w:r>
            <w:r>
              <w:t xml:space="preserve">80,001 to 120,000</w:t>
            </w:r>
          </w:p>
        </w:tc>
        <w:tc>
          <w:p>
            <w:r>
              <w:t xml:space="preserve">$150</w:t>
            </w:r>
          </w:p>
        </w:tc>
      </w:tr>
      <w:tr>
        <w:tc>
          <w:p>
            <w:r>
              <w:t xml:space="preserve"> 120,001 to 160,000</w:t>
            </w:r>
          </w:p>
        </w:tc>
        <w:tc>
          <w:p>
            <w:r>
              <w:t xml:space="preserve">$225</w:t>
            </w:r>
          </w:p>
        </w:tc>
      </w:tr>
      <w:tr>
        <w:tc>
          <w:p>
            <w:r>
              <w:t xml:space="preserve"> 160,001 to 200,000</w:t>
            </w:r>
          </w:p>
        </w:tc>
        <w:tc>
          <w:p>
            <w:r>
              <w:t xml:space="preserve">$300</w:t>
            </w:r>
          </w:p>
        </w:tc>
      </w:tr>
      <w:tr>
        <w:tc>
          <w:p>
            <w:r>
              <w:t xml:space="preserve">200,001 and above</w:t>
            </w:r>
          </w:p>
        </w:tc>
        <w:tc>
          <w:p>
            <w:r>
              <w:t xml:space="preserve">$375</w:t>
            </w:r>
          </w:p>
        </w:tc>
      </w:tr>
    </w:tbl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