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87R8814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of office payable to directors of certain municipal management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375.069,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375.069.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BOARD POSITION NOT</w:t>
      </w:r>
      <w:r>
        <w:t xml:space="preserve">] CIVIL OFFICE OF EMOLUMENT. </w:t>
      </w:r>
      <w:r>
        <w:rPr>
          <w:u w:val="single"/>
        </w:rPr>
        <w:t xml:space="preserve">(a) Subject to Subsection (b), a</w:t>
      </w:r>
      <w:r>
        <w:t xml:space="preserve"> [</w:t>
      </w:r>
      <w:r>
        <w:rPr>
          <w:strike/>
        </w:rPr>
        <w:t xml:space="preserve">A</w:t>
      </w:r>
      <w:r>
        <w:t xml:space="preserve">] position on the board may not be construed to be a civil office of emolument for any purpose, including those purposes described by [</w:t>
      </w:r>
      <w:r>
        <w:rPr>
          <w:strike/>
        </w:rPr>
        <w:t xml:space="preserve">Article XVI,</w:t>
      </w:r>
      <w:r>
        <w:t xml:space="preserve">] Section 40, </w:t>
      </w:r>
      <w:r>
        <w:rPr>
          <w:u w:val="single"/>
        </w:rPr>
        <w:t xml:space="preserve">Article XVI,</w:t>
      </w:r>
      <w:r>
        <w:t xml:space="preserve"> [</w:t>
      </w:r>
      <w:r>
        <w:rPr>
          <w:strike/>
        </w:rPr>
        <w:t xml:space="preserve">of the</w:t>
      </w:r>
      <w:r>
        <w:t xml:space="preserve">] Texas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by resolution may declare that a position on the board is a civil office of emolument under Section 40, Article XVI, Texas Constitution, if the governing board of the municipality in which the district is located consents by resolution or ordinance.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375.070,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375.070.</w:t>
      </w:r>
      <w:r xml:space="preserve">
        <w:t> </w:t>
      </w:r>
      <w:r xml:space="preserve">
        <w:t> </w:t>
      </w:r>
      <w:r>
        <w:t xml:space="preserve">COMPENSATION OF DIRECTORS; REIMBURSEMENT OF EXPENSES.  </w:t>
      </w:r>
      <w:r>
        <w:rPr>
          <w:u w:val="single"/>
        </w:rPr>
        <w:t xml:space="preserve">(a)</w:t>
      </w:r>
      <w:r>
        <w:t xml:space="preserve">  A director is not entitled to compensation for service on the board but is entitled to be reimbursed for necessary expenses incurred in carrying out the duties and responsibilities of a director.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 director whose position is made a civil office of emolument under Section 375.069(b) is entitled to receive fees of office and reimbursement of eligible expenses in the manner provided by Section 49.060, Water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