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87R12326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for a deed to include a statement regarding certain fraudulent conveyances or recordings.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 Property Code, is amended by adding Section 5.020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w:t>
      </w:r>
      <w:r>
        <w:rPr>
          <w:u w:val="single"/>
        </w:rPr>
        <w:t xml:space="preserve"> </w:t>
      </w:r>
      <w:r>
        <w:rPr>
          <w:u w:val="single"/>
        </w:rPr>
        <w:t xml:space="preserve"> </w:t>
      </w:r>
      <w:r>
        <w:rPr>
          <w:u w:val="single"/>
        </w:rPr>
        <w:t xml:space="preserve">STATEMENT REGARDING FRAUDULENT CONVEYANCES OR RECORDINGS.  (a)  A deed conveying an interest in real property located in this state must contain a statement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offenses under the laws of this state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fraudulent conveyance of an interest in real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fraudulent recording of a deed;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criminal penalties associated with offenses listed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supreme court by rule shall prescribe the form of the statement required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12, Property Code, is amended by adding Section 12.020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12.020.</w:t>
      </w:r>
      <w:r>
        <w:rPr>
          <w:u w:val="single"/>
        </w:rPr>
        <w:t xml:space="preserve"> </w:t>
      </w:r>
      <w:r>
        <w:rPr>
          <w:u w:val="single"/>
        </w:rPr>
        <w:t xml:space="preserve"> </w:t>
      </w:r>
      <w:r>
        <w:rPr>
          <w:u w:val="single"/>
        </w:rPr>
        <w:t xml:space="preserve">RECORDING OF CERTAIN DEEDS PROHIBITED.  Notwithstanding any other law, a deed conveying an interest in real property located in this state may not be recorded in the real property records of a county unless the deed contains the statement required by Section 5.020.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2021, the Texas Supreme Court by rule shall prescribe the form of the statement required by Section 5.020, Property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deed executed on or after the effective date of this Act.  A deed executed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 3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