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Hall</w:t>
      </w:r>
      <w:r xml:space="preserve">
        <w:tab wTab="150" tlc="none" cTlc="0"/>
      </w:r>
      <w:r>
        <w:t xml:space="preserve">S.B.</w:t>
      </w:r>
      <w:r xml:space="preserve">
        <w:t> </w:t>
      </w:r>
      <w:r>
        <w:t xml:space="preserve">No.</w:t>
      </w:r>
      <w:r xml:space="preserve">
        <w:t> </w:t>
      </w:r>
      <w:r>
        <w:t xml:space="preserve">1879</w:t>
      </w:r>
    </w:p>
    <w:p w:rsidR="003F3435" w:rsidRDefault="0032493E">
      <w:pPr>
        <w:jc w:val="both"/>
      </w:pPr>
      <w:r xml:space="preserve">
        <w:t> </w:t>
      </w:r>
      <w:r xml:space="preserve">
        <w:t> </w:t>
      </w:r>
      <w:r xml:space="preserve">
        <w:t> </w:t>
      </w:r>
      <w:r xml:space="preserve">
        <w:t> </w:t>
      </w:r>
      <w:r xml:space="preserve">
        <w:t> </w:t>
      </w:r>
      <w:r>
        <w:t xml:space="preserve">Paxton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and reporting of expenditures for lobbying activities by certain political subdivisions and other public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EXPENDITURES FOR LOBBYING ACTIVITIES.  (a)  This section applies only to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that imposes a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or special district that has the authority to issue bonds, including revenue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mobility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transit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regional tollway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special purpose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institution of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community college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publicly owned utility;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river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or other entity to which this section applies may spend money to directly or indirectly influence or attempt to influence the outcome of any legislation pending before the legislature only if the expenditure is authorized by a majority vote of the governing body of the political subdivision or entity in an open meeting of the governing body. </w:t>
      </w:r>
      <w:r>
        <w:rPr>
          <w:u w:val="single"/>
        </w:rPr>
        <w:t xml:space="preserve"> </w:t>
      </w:r>
      <w:r>
        <w:rPr>
          <w:u w:val="single"/>
        </w:rPr>
        <w:t xml:space="preserve">The expenditure must be voted on by the governing body as a stand-alone item on the agenda at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or other entity to which this section applies shall report to the Texas Ethics Commission and publish on the political subdivision's or entity's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authorized under Subsection (b) for the purpose of directly or indirectly influencing or attempting to influence the outcome of any legislation pending before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any person required to register under Chapter 305, Government Code, retained or employed by or on behalf of the political subdivision or entity for the purpose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electronic copy of any contract for services for the purpose described by Subdivision (1) that is entered into by the political subdivision or entity, or by a person on behalf of the political subdivision or entity, with each person listed under Subdivision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Subsection (c), a political subdivision or other entity to which this section applies shall report to the Texas Ethics Commission and publish on the political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Ethics Commission shall make available to the public an easily searchable database on the commission's Internet website containing the reports submitted to the commission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political subdivision or other entity to which this section applies does not comply with the requirements of this section, an interested party is entitled to appropriate injunctive relief to prevent further activity in violation of this section.  For purposes of this subsection, "interested party"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taxpayer of the political subdivision or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by or receives services from the political subdivision or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prevent an officer or employee of a political subdivision or other entity to which this section applies from advocating for or against or otherwise influencing or attempting to influence the outcome of legislation pending before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Ethics Commission is required to implement the change in law made by Section 140.013(e), Local Government Code, as added by this Act, only if the legislature appropriates money specifically for that purpose.  If the legislature does not appropriate money specifically for that purpose, the Texas Ethics Commission may, but is not required to, implement that change in law using other appropriations available for the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