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87R11012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manner in which an individual who has elected to defer collection of a tax, abate a suit to collect delinquent tax, or abate a sale to foreclose a tax lien on the individual's residence homestead is listed on the delinquent tax roll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33.03.</w:t>
      </w:r>
      <w:r xml:space="preserve">
        <w:t> </w:t>
      </w:r>
      <w:r xml:space="preserve">
        <w:t> </w:t>
      </w:r>
      <w:r>
        <w:t xml:space="preserve">DELINQUENT TAX ROLL.  </w:t>
      </w:r>
      <w:r>
        <w:rPr>
          <w:u w:val="single"/>
        </w:rPr>
        <w:t xml:space="preserve">(a)</w:t>
      </w:r>
      <w:r>
        <w:t xml:space="preserve">  Each year the collector for each taxing unit shall prepare a current and a cumulative delinquent tax roll for the </w:t>
      </w:r>
      <w:r>
        <w:rPr>
          <w:u w:val="single"/>
        </w:rPr>
        <w:t xml:space="preserve">taxing</w:t>
      </w:r>
      <w:r>
        <w:t xml:space="preserve">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collector for a taxing unit shall indicate on each delinquent tax roll for the taxing unit that a delinquent tax included on the roll is deferred or abated under Section 33.06 or 33.065,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