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1886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26,</w:t>
      </w:r>
      <w:r xml:space="preserve">
        <w:t> </w:t>
      </w:r>
      <w:r>
        <w:t xml:space="preserve">2021, read first time and referred to Committee on Local Government;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manner in which an individual who has elected to defer collection of a tax, abate a suit to collect delinquent tax, or abate a sale to foreclose a tax lien on the individual's residence homestead is listed on the delinquent tax roll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33.03.</w:t>
      </w:r>
      <w:r xml:space="preserve">
        <w:t> </w:t>
      </w:r>
      <w:r xml:space="preserve">
        <w:t> </w:t>
      </w:r>
      <w:r>
        <w:t xml:space="preserve">DELINQUENT TAX ROLL.  </w:t>
      </w:r>
      <w:r>
        <w:rPr>
          <w:u w:val="single"/>
        </w:rPr>
        <w:t xml:space="preserve">(a)</w:t>
      </w:r>
      <w:r>
        <w:t xml:space="preserve">  Each year the collector for each taxing unit shall prepare a current and a cumulative delinquent tax roll for the </w:t>
      </w:r>
      <w:r>
        <w:rPr>
          <w:u w:val="single"/>
        </w:rPr>
        <w:t xml:space="preserve">taxing</w:t>
      </w:r>
      <w:r>
        <w:t xml:space="preserve">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collector for a taxing unit shall indicate on each delinquent tax roll for the taxing unit that a delinquent tax included on the roll is deferred or abated under Section 33.06 or 33.065,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