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provisions governing the establishment and administration of a state bullion</w:t>
      </w:r>
    </w:p>
    <w:p w:rsidR="003F3435" w:rsidRDefault="0032493E">
      <w:pPr>
        <w:spacing w:line="480" w:lineRule="auto"/>
        <w:jc w:val="both"/>
      </w:pPr>
      <w:r>
        <w:t xml:space="preserve">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Chapter 2116, Subtitle C, Title 10, Government Code;</w:t>
      </w:r>
    </w:p>
    <w:p w:rsidR="003F3435" w:rsidRDefault="0032493E">
      <w:pPr>
        <w:spacing w:line="480" w:lineRule="auto"/>
        <w:ind w:firstLine="1440"/>
        <w:jc w:val="both"/>
      </w:pPr>
      <w:r>
        <w:t xml:space="preserve">(2)</w:t>
      </w:r>
      <w:r xml:space="preserve">
        <w:t> </w:t>
      </w:r>
      <w:r xml:space="preserve">
        <w:t> </w:t>
      </w:r>
      <w:r>
        <w:t xml:space="preserve">Subsection (c-1), Subsection 151.603, Finance Code; and</w:t>
      </w:r>
    </w:p>
    <w:p w:rsidR="003F3435" w:rsidRDefault="0032493E">
      <w:pPr>
        <w:spacing w:line="480" w:lineRule="auto"/>
        <w:ind w:firstLine="1440"/>
        <w:jc w:val="both"/>
      </w:pPr>
      <w:r>
        <w:t xml:space="preserve">(3)</w:t>
      </w:r>
      <w:r xml:space="preserve">
        <w:t> </w:t>
      </w:r>
      <w:r xml:space="preserve">
        <w:t> </w:t>
      </w:r>
      <w:r>
        <w:t xml:space="preserve">Subchapter J, Chapter 151, Finance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