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87R6039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regulatory authority of the savings and mortgage lending commissioner;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92.554(a), Finance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application, the commissioner shall submit to the Texas Register for publication in the next issue after the date the application is received </w:t>
      </w:r>
      <w:r>
        <w:rPr>
          <w:u w:val="single"/>
        </w:rPr>
        <w:t xml:space="preserve">or publish in a newspaper of general circulation that is printed in English in the county in which the savings bank is to have the savings bank's principal office</w:t>
      </w:r>
      <w:r>
        <w:t xml:space="preserve">:</w:t>
      </w:r>
    </w:p>
    <w:p w:rsidR="003F3435" w:rsidRDefault="0032493E">
      <w:pPr>
        <w:spacing w:line="480" w:lineRule="auto"/>
        <w:ind w:firstLine="1440"/>
        <w:jc w:val="both"/>
      </w:pPr>
      <w:r>
        <w:t xml:space="preserve">(1)</w:t>
      </w:r>
      <w:r xml:space="preserve">
        <w:t> </w:t>
      </w:r>
      <w:r xml:space="preserve">
        <w:t> </w:t>
      </w:r>
      <w:r>
        <w:t xml:space="preserve">notice of the application;</w:t>
      </w:r>
    </w:p>
    <w:p w:rsidR="003F3435" w:rsidRDefault="0032493E">
      <w:pPr>
        <w:spacing w:line="480" w:lineRule="auto"/>
        <w:ind w:firstLine="1440"/>
        <w:jc w:val="both"/>
      </w:pPr>
      <w:r>
        <w:t xml:space="preserve">(2)</w:t>
      </w:r>
      <w:r xml:space="preserve">
        <w:t> </w:t>
      </w:r>
      <w:r xml:space="preserve">
        <w:t> </w:t>
      </w:r>
      <w:r>
        <w:t xml:space="preserve">the date the application was filed; and</w:t>
      </w:r>
    </w:p>
    <w:p w:rsidR="003F3435" w:rsidRDefault="0032493E">
      <w:pPr>
        <w:spacing w:line="480" w:lineRule="auto"/>
        <w:ind w:firstLine="1440"/>
        <w:jc w:val="both"/>
      </w:pPr>
      <w:r>
        <w:t xml:space="preserve">(3)</w:t>
      </w:r>
      <w:r xml:space="preserve">
        <w:t> </w:t>
      </w:r>
      <w:r xml:space="preserve">
        <w:t> </w:t>
      </w:r>
      <w:r>
        <w:t xml:space="preserve">the identity of each party to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96, Finance Code, is amended by adding Section 96.0551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96.0551.</w:t>
      </w:r>
      <w:r>
        <w:rPr>
          <w:u w:val="single"/>
        </w:rPr>
        <w:t xml:space="preserve"> </w:t>
      </w:r>
      <w:r>
        <w:rPr>
          <w:u w:val="single"/>
        </w:rPr>
        <w:t xml:space="preserve"> </w:t>
      </w:r>
      <w:r>
        <w:rPr>
          <w:u w:val="single"/>
        </w:rPr>
        <w:t xml:space="preserve">REGULATION AND EXAMINATION OF CERTAIN RELATED ENTITIES.  (a)  In this section, "state savings bank" has the meaning assigned by Section 31.002.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regulate and examine, to the same extent as if the services or activities were performed by a state savings bank on its own premises: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of a state savings bank affiliate;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services or activities of a third-party service provider that a state savings bank or state savings bank affiliate has contracted for or otherwise arranged to be performed on behalf of the state savings bank or state savings bank affiliate.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collect a fee from an examined third-party service provider or affiliate in connection with each examination to cover the cost of the examination or may collect that fee from the state savings banks that use the examined third-party service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state savings bank affiliate does not include a company in which ownership or membership is limited to individuals and conditioned by law on the existence and maintenance of professional licensing.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the commissioner may accept the results of that examination instead of conducting the commissioner's own examination of the third-party service provider or affiliate.  Nothing in this subsection shall be construed as limiting or restricting the commissioner from participating in an examination of a third-party service provider or affiliate conducted by a federal or state financial services regulatory agency or by a member agency of the Federal Financial Institutions Examination Council, or its successor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96.  With respect to a third-party service provider's refusal to submit to examination, the commissioner may notify all state savings banks of the refusal and warn that continued use of the third-party service provider may constitute an unsafe and unsound banking practice.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97.006, Finance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 holding company that controls a state savings bank to the same extent as if the holding company were a state savings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bring an enforcement action under Chapter 96 against a holding company described by Subdivision (1) or other person that violates or participates in a violation of this subtitle, an agreement filed with the commissioner under this chapter, or a rule adopted by the finance commission or order issued by the commissioner under this subtitle, as if the holding company were a state savings bank.</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grounds, procedures, and effects of an enforcement action brought under Subsection (f) apply to a holding company, an officer, director, or employee of a holding company, or a controlling shareholder or other person participating in the affairs of a holding company in the same manner as the grounds, procedures, and effects apply to a state savings bank, an officer, director, or employee of a state savings bank, or a controlling shareholder or other person participating in the affairs of a state savings bank.</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state savings bank that is controlled by a holding company that is not a Texas holding company shall be subject to all laws of this state that are applicable to state savings banks that are controlled by Texas holding companies.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156.2041(a),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mortgage company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mortgage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1440"/>
        <w:jc w:val="both"/>
      </w:pPr>
      <w:r>
        <w:t xml:space="preserve">(6)</w:t>
      </w:r>
      <w:r xml:space="preserve">
        <w:t> </w:t>
      </w:r>
      <w:r xml:space="preserve">
        <w:t> </w:t>
      </w:r>
      <w:r>
        <w:t xml:space="preserve">have the company name or assumed name properly filed with either the secretary of state or with the appropriate county clerk's office;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w:t>
      </w:r>
      <w:r>
        <w:rPr>
          <w:strike/>
        </w:rPr>
        <w:t xml:space="preserve">maintain a physical office in this state; and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provide financial statements and any other information required by the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156.2042(a),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credit union subsidiary organization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organization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maintain a physical office in this state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156.501(c), Finance Code, is amended to read as follows:</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w:t>
      </w:r>
      <w:r>
        <w:rPr>
          <w:u w:val="single"/>
        </w:rPr>
        <w:t xml:space="preserve">in accordance with Chapter 2256, Government Code, and under the prudent person standard described by Section 11b, Article VII, Texas Constitution</w:t>
      </w:r>
      <w:r>
        <w:t xml:space="preserve"> [</w:t>
      </w:r>
      <w:r>
        <w:rPr>
          <w:strike/>
        </w:rPr>
        <w:t xml:space="preserve">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judgment payments awarded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Sections 156.212(a) and (a-1);</w:t>
      </w:r>
    </w:p>
    <w:p w:rsidR="003F3435" w:rsidRDefault="0032493E">
      <w:pPr>
        <w:spacing w:line="480" w:lineRule="auto"/>
        <w:ind w:firstLine="1440"/>
        <w:jc w:val="both"/>
      </w:pPr>
      <w:r>
        <w:t xml:space="preserve">(2)</w:t>
      </w:r>
      <w:r xml:space="preserve">
        <w:t> </w:t>
      </w:r>
      <w:r xml:space="preserve">
        <w:t> </w:t>
      </w:r>
      <w:r>
        <w:t xml:space="preserve">Sections 156.501(d) and (f); and</w:t>
      </w:r>
    </w:p>
    <w:p w:rsidR="003F3435" w:rsidRDefault="0032493E">
      <w:pPr>
        <w:spacing w:line="480" w:lineRule="auto"/>
        <w:ind w:firstLine="1440"/>
        <w:jc w:val="both"/>
      </w:pPr>
      <w:r>
        <w:t xml:space="preserve">(3)</w:t>
      </w:r>
      <w:r xml:space="preserve">
        <w:t> </w:t>
      </w:r>
      <w:r xml:space="preserve">
        <w:t> </w:t>
      </w:r>
      <w:r>
        <w:t xml:space="preserve">Section 156.502(b).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92.554(a), Finance Code, as amended by this Act, applies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156.501(c), Finance Code, as amended by this Act, applies only to an investment made on or after the effective date of this Act.  An investment made before the effective date of this Act is governed by the law in effect on the date the investment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