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1901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12,</w:t>
      </w:r>
      <w:r xml:space="preserve">
        <w:t> </w:t>
      </w:r>
      <w:r>
        <w:t xml:space="preserve">2021; April</w:t>
      </w:r>
      <w:r xml:space="preserve">
        <w:t> </w:t>
      </w:r>
      <w:r>
        <w:t xml:space="preserve">1,</w:t>
      </w:r>
      <w:r xml:space="preserve">
        <w:t> </w:t>
      </w:r>
      <w:r>
        <w:t xml:space="preserve">2021, read first time and referred to Committee on State Affairs;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1901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Birdwell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authority of the secretary of state to order the performance of certain election functions.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31.005,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31.005.</w:t>
      </w:r>
      <w:r xml:space="preserve">
        <w:t> </w:t>
      </w:r>
      <w:r xml:space="preserve">
        <w:t> </w:t>
      </w:r>
      <w:r>
        <w:t xml:space="preserve">PROTECTION OF VOTING RIGHTS</w:t>
      </w:r>
      <w:r>
        <w:rPr>
          <w:u w:val="single"/>
        </w:rPr>
        <w:t xml:space="preserve">; ENFORCEMENT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31.005, Election Code, is amended by amending Subsection (b)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 secretary of state may order</w:t>
      </w:r>
      <w:r>
        <w:t xml:space="preserve"> [</w:t>
      </w:r>
      <w:r>
        <w:rPr>
          <w:strike/>
        </w:rPr>
        <w:t xml:space="preserve">If the secretary determines that</w:t>
      </w:r>
      <w:r>
        <w:t xml:space="preserve">] a person performing official functions in the administration of any part of the electoral processes </w:t>
      </w:r>
      <w:r>
        <w:rPr>
          <w:u w:val="single"/>
        </w:rPr>
        <w:t xml:space="preserve">to correct offending conduct if the secretary determines that the person</w:t>
      </w:r>
      <w:r>
        <w:t xml:space="preserve"> is exercising the powers vested in that person in a manner that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impedes the free exercise of a citizen's voting rights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unless acting under an order of a court of competent jurisdiction, delays or cancels an election that the person does not have specific statutory authority to delay or cancel.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t xml:space="preserve">[</w:t>
      </w:r>
      <w:r>
        <w:rPr>
          <w:strike/>
        </w:rPr>
        <w:t xml:space="preserve">, the secretary may order the person to correct the offending conduct.</w:t>
      </w:r>
      <w:r>
        <w:t xml:space="preserve">] If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person </w:t>
      </w:r>
      <w:r>
        <w:rPr>
          <w:u w:val="single"/>
        </w:rPr>
        <w:t xml:space="preserve">described by Subsection (b)</w:t>
      </w:r>
      <w:r>
        <w:t xml:space="preserve"> fails to comply </w:t>
      </w:r>
      <w:r>
        <w:rPr>
          <w:u w:val="single"/>
        </w:rPr>
        <w:t xml:space="preserve">with an order from the secretary of state under this section</w:t>
      </w:r>
      <w:r>
        <w:t xml:space="preserve">, the secretary may seek enforcement of the order by a temporary restraining order or a writ of injunction or mandamus obtained through the attorney general.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1901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