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87R11777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optional county fee imposed on an applicant for a motor vehicle certificate of title.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501, Transportation Code, is amended by adding Section 508.1385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508.1385.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OPTIONAL COUNTY FEE.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(a) Subject to Subsection (b), the commissioners court of a county by order may impose an additional fee, not to exceed $5, for an application for a title that is submitted to the county assessor-collector of that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of a county may impose the additional fee only if the fee is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additional fee shall be collected at the time an applicant applies for a title. The county treasurer shall deposit the additional fee in the officers' salary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