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87R10934 BDP-D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duties of school district peace officers and school resource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37.081, Education Code, is amended by adding Subsections (a-1), (d-5), and (d-6)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memorandum of understanding under Subsection (a) regarding the provision of school resource officers must include a district's use of force policy and an outline of the intended role of school resource officers in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(d-6), a school district peace officer or  school resource officer may issue a citation to or make an arrest of a student for conduct described by Section 37.015 only after the officer has determined, in consultation with the school district administrators, that alternative disciplinary measures, including restorative justice practices and school-based disciplinary measures, are not sufficient. </w:t>
      </w:r>
      <w:r>
        <w:rPr>
          <w:u w:val="single"/>
        </w:rPr>
        <w:t xml:space="preserve"> </w:t>
      </w:r>
      <w:r>
        <w:rPr>
          <w:u w:val="single"/>
        </w:rPr>
        <w:t xml:space="preserve">If the officer determines that no sufficient alternative disciplinary measures are available, the officer shall prepare and submit a written report to the school district superintendent or the superintendent's designee 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alternative disciplinary measures considered by the officer;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explanation stating why those measures were not sufficient disciplinary alternatives.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peace officer or school resource officer is not required to make the determination under Subsection (d-5) if the student's conduct poses a threat that requires immediate action by the officer.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