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1921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Medicaid reimbursement for the provision of certain behavioral health and physical health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32, Human Resources Code, is amended by adding Section 32.0246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32.0246.</w:t>
      </w:r>
      <w:r>
        <w:rPr>
          <w:u w:val="single"/>
        </w:rPr>
        <w:t xml:space="preserve"> </w:t>
      </w:r>
      <w:r>
        <w:rPr>
          <w:u w:val="single"/>
        </w:rPr>
        <w:t xml:space="preserve"> </w:t>
      </w:r>
      <w:r>
        <w:rPr>
          <w:u w:val="single"/>
        </w:rPr>
        <w:t xml:space="preserve">MEDICAL ASSISTANCE REIMBURSEMENT FOR CERTAIN BEHAVIORAL HEALTH AND PHYSICAL HEALTH SERVICES.  (a)  In this section, "behavioral health services" has the meaning assigned by Section 533.00255(a), Government Code, and includes targeted case management and psychiatric rehabilitation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provide to a public or private provider of behavioral health services medical assistance reimbursement through a fee-for-service delivery model for behavioral health or physical health services provided to a recipient before that recipient's enrollment with and receipt of medical assistance services through a managed care organization under Chapter 533,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ensure that a public or private provider of behavioral health services who is reimbursed under Subsection (b) through a fee-for-service delivery model is provided medical assistance reimbursement through a managed care model for behavioral health or physical health services provided to a recipient after that recipient's enrollment with and receipt of medical assistance services through a managed care organization under Chapter 533,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32.024, Human Resources Code, is amended by adding Subsection (ll) to read as follows:</w:t>
      </w:r>
    </w:p>
    <w:p w:rsidR="003F3435" w:rsidRDefault="0032493E">
      <w:pPr>
        <w:spacing w:line="480" w:lineRule="auto"/>
        <w:ind w:firstLine="720"/>
        <w:jc w:val="both"/>
      </w:pPr>
      <w:r>
        <w:rPr>
          <w:u w:val="single"/>
        </w:rPr>
        <w:t xml:space="preserve">(ll) The commission shall provide medical assistance reimbursement to an authorized wound care education and training services provider and establish outcome measures for evaluating the physical health care outcomes of recipients who receive wound care education and training services from an authorized wound care education and training services provider.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32, Human Resources Code, is amended by adding Section 32.0285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32.0285.</w:t>
      </w:r>
      <w:r>
        <w:rPr>
          <w:u w:val="single"/>
        </w:rPr>
        <w:t xml:space="preserve"> </w:t>
      </w:r>
      <w:r>
        <w:rPr>
          <w:u w:val="single"/>
        </w:rPr>
        <w:t xml:space="preserve"> </w:t>
      </w:r>
      <w:r>
        <w:rPr>
          <w:u w:val="single"/>
        </w:rPr>
        <w:t xml:space="preserve">CALCULATION OF MEDICAL EDUCATION ADD-ON FOR REIMBURSEMENT OF TEACHING HOSPITALS THAT PROVIDE BEHAVIORAL HEALTH AND PHYSICAL HEALTH SERVICES.  The commission shall, on request from a teaching hospital that provides behavioral health and physical health services, update on a biannual basis the education adjustment factor used to calculate the medical education add-on using the most current Medicare education adjustment factor data available under 42 C.F.R. Section 412.105 at the time the commission makes the update.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32.0285, Human Resources Code, as added by this Act, applies only to a request from a teaching hospital that is made on or after September 1, 2022.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Health and Human Services Commission is required to implement a provision of this Act only if the legislature appropriates money to the commission specifically for that purpose.  If the legislature does not appropriate money specifically for that purpose, the commission may, but is not required to, implement a provision of this Act using other appropriations that are available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2022.</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1921 passed the Senate on May</w:t>
      </w:r>
      <w:r xml:space="preserve">
        <w:t> </w:t>
      </w:r>
      <w:r>
        <w:t xml:space="preserve">4,</w:t>
      </w:r>
      <w:r xml:space="preserve">
        <w:t> </w:t>
      </w:r>
      <w:r>
        <w:t xml:space="preserve">2021, by the following vote:  Yeas</w:t>
      </w:r>
      <w:r xml:space="preserve">
        <w:t> </w:t>
      </w:r>
      <w:r>
        <w:t xml:space="preserve">30, Nays</w:t>
      </w:r>
      <w:r xml:space="preserve">
        <w:t> </w:t>
      </w:r>
      <w:r>
        <w:t xml:space="preserve">0; and that the Senate concurred in House amendment on May</w:t>
      </w:r>
      <w:r xml:space="preserve">
        <w:t> </w:t>
      </w:r>
      <w:r>
        <w:t xml:space="preserve">30,</w:t>
      </w:r>
      <w:r xml:space="preserve">
        <w:t> </w:t>
      </w:r>
      <w:r>
        <w:t xml:space="preserve">2021,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1921 passed the House, with amendment, on May</w:t>
      </w:r>
      <w:r xml:space="preserve">
        <w:t> </w:t>
      </w:r>
      <w:r>
        <w:t xml:space="preserve">26,</w:t>
      </w:r>
      <w:r xml:space="preserve">
        <w:t> </w:t>
      </w:r>
      <w:r>
        <w:t xml:space="preserve">2021, by the following vote:  Yeas</w:t>
      </w:r>
      <w:r xml:space="preserve">
        <w:t> </w:t>
      </w:r>
      <w:r>
        <w:t xml:space="preserve">96, Nays</w:t>
      </w:r>
      <w:r xml:space="preserve">
        <w:t> </w:t>
      </w:r>
      <w:r>
        <w:t xml:space="preserve">50,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