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87R8100 KEL-F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consideration of certain factors in student admissions to public institutions of higher education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51.9243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51.9243.</w:t>
      </w:r>
      <w:r>
        <w:rPr>
          <w:u w:val="single"/>
        </w:rPr>
        <w:t xml:space="preserve"> </w:t>
      </w:r>
      <w:r>
        <w:rPr>
          <w:u w:val="single"/>
        </w:rPr>
        <w:t xml:space="preserve"> </w:t>
      </w:r>
      <w:r>
        <w:rPr>
          <w:u w:val="single"/>
        </w:rPr>
        <w:t xml:space="preserve">PROHIBITION ON LEGACY PREFERENCES AND OTHER CONSIDERATIONS IN ADMISSIONS.  An institution of higher education may not discriminate against, or give preferential treatment to, an applicant for admission to the institution or to any college or other educational program of the institution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donation made or promised to the institution by any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any relative or family member of the applicant previously attended or supported the institution in any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51.805(c),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general academic teaching institution may review other factors in making an admissions decision</w:t>
      </w:r>
      <w:r>
        <w:rPr>
          <w:u w:val="single"/>
        </w:rPr>
        <w:t xml:space="preserve">, subject to Section 51.9243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