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April</w:t>
      </w:r>
      <w:r xml:space="preserve">
        <w:t> </w:t>
      </w:r>
      <w:r>
        <w:t xml:space="preserve">1,</w:t>
      </w:r>
      <w:r xml:space="preserve">
        <w:t> </w:t>
      </w:r>
      <w:r>
        <w:t xml:space="preserve">2021, read first time and referred to Committee on State Affairs; April</w:t>
      </w:r>
      <w:r xml:space="preserve">
        <w:t> </w:t>
      </w:r>
      <w:r>
        <w:t xml:space="preserve">14,</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14,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1936</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beginning and ending possession times in certain standard possession orders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153, Family Code, is amended by adding Section 153.3171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153.3171.</w:t>
      </w:r>
      <w:r>
        <w:rPr>
          <w:u w:val="single"/>
        </w:rPr>
        <w:t xml:space="preserve"> </w:t>
      </w:r>
      <w:r>
        <w:rPr>
          <w:u w:val="single"/>
        </w:rPr>
        <w:t xml:space="preserve"> </w:t>
      </w:r>
      <w:r>
        <w:rPr>
          <w:u w:val="single"/>
        </w:rPr>
        <w:t xml:space="preserve">BEGINNING AND ENDING POSSESSION TIMES FOR PARENTS WHO RESIDE 50 MILES OR LESS APART.  (a) </w:t>
      </w:r>
      <w:r>
        <w:rPr>
          <w:u w:val="single"/>
        </w:rPr>
        <w:t xml:space="preserve"> </w:t>
      </w:r>
      <w:r>
        <w:rPr>
          <w:u w:val="single"/>
        </w:rPr>
        <w:t xml:space="preserve">Except as provided by Subsection (b), if the possessory conservator resides not more than 50 miles from the primary residence of the child, the court shall alter the standard possession order under Sections 153.312, 153.314, and 153.315 to provide that the conservator has the right to possession of the child as if the conservator had made the elections for alternative beginning and ending possession times under Sections 153.317(a)(1)(C), (2)(C), (3), (4), (5), (6), (7)(C), and (8).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possessory conservator declines one or more of the alternative beginning and ending possession times under Subsection (a) in a written document filed with the court or through an oral statement made in open court on the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is denying, restricting, or limiting the possessory conservator's possession of or access to the child in the best interest of the child under Section 153.004;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finds that one or more of the alternative beginning and ending possession times under Subsection (a) are not in the best interest of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because the distances between residences make the possession schedule described by Subsection (a) unworkable or inappropriate considering the circumstances of the parties or the area in which the parties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before the filing of the suit, the possessory conservator did not frequently and continuously exercise the rights and duties of a parent with respect to the child;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any other reason the court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a party, the court shall make findings of fact and conclusions of law regarding the order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231, Family Code, is amended by adding Section 231.1211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231.1211.</w:t>
      </w:r>
      <w:r>
        <w:rPr>
          <w:u w:val="single"/>
        </w:rPr>
        <w:t xml:space="preserve"> </w:t>
      </w:r>
      <w:r>
        <w:rPr>
          <w:u w:val="single"/>
        </w:rPr>
        <w:t xml:space="preserve"> </w:t>
      </w:r>
      <w:r>
        <w:rPr>
          <w:u w:val="single"/>
        </w:rPr>
        <w:t xml:space="preserve">INFORMATIONAL MATERIALS ON STANDARD POSSESSION ORDER.  (a)  The Title IV-D agency shall create informational materials that describe the possession schedule under the standard possession order under Subchapter F, Chapter 153, including any alternate schedules or elections available to conservators.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Title IV-D agency shall make the informational materials described by Subsection (a) available on the agency's Internet website and distribute printed copies of those materials on request.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