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1941</w:t>
      </w:r>
    </w:p>
    <w:p w:rsidR="003F3435" w:rsidRDefault="0032493E">
      <w:pPr>
        <w:ind w:firstLine="720"/>
        <w:jc w:val="both"/>
      </w:pPr>
      <w:r>
        <w:t xml:space="preserve">(Zwiener)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hyperemesis gravidarum.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32.047.</w:t>
      </w:r>
      <w:r>
        <w:rPr>
          <w:u w:val="single"/>
        </w:rPr>
        <w:t xml:space="preserve"> </w:t>
      </w:r>
      <w:r>
        <w:rPr>
          <w:u w:val="single"/>
        </w:rPr>
        <w:t xml:space="preserve"> </w:t>
      </w:r>
      <w:r>
        <w:rPr>
          <w:u w:val="single"/>
        </w:rPr>
        <w:t xml:space="preserve">HYPEREMESIS GRAVIDARUM STRATEGIC PLAN.  (a)  In this section, "hyperemesis gravidarum"</w:t>
      </w:r>
      <w:r>
        <w:rPr>
          <w:u w:val="single"/>
        </w:rPr>
        <w:t xml:space="preserve"> </w:t>
      </w:r>
      <w:r>
        <w:rPr>
          <w:u w:val="single"/>
        </w:rPr>
        <w:t xml:space="preserve">means a disorder that causes a woman to experience extreme, persistent nausea and vomiting during pregnancy that may lead to dehydration, weight loss, or electrolyte imbalance.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five-year strategic plan to improve the diagnosis and treatment of and raise public awareness of hyperemesis gravidarum.  Not later than September 1 of the last state fiscal year in each five-year period, the commission shall develop a new strategic plan for the next five state fiscal years that begins with the following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at risk of or experiencing hyperemesis gravidarum about the prevalence and effects of hyperemesis gravidarum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health care providers and support services addressing hyperemesis gravidarum;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successfully completed additional training related to hyperemesis gravidarum;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hyperemesis gravidarum;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hyperemesis gravidarum screening, referral, treatment, and support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coordinate with the department and the statewide health coordinating council in the development of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in consultation with the department and the statewide health coordinating council, shall annually review the strategic plan and update the plan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Health and Human Services Commission shall develop the initial strategic plan required by Section 32.047,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